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3D50" w14:textId="77777777" w:rsidR="002E0447" w:rsidRDefault="002E0447">
      <w:pPr>
        <w:rPr>
          <w:b/>
          <w:bCs/>
        </w:rPr>
      </w:pPr>
    </w:p>
    <w:p w14:paraId="3550E909" w14:textId="77777777" w:rsidR="002E0447" w:rsidRDefault="002E0447">
      <w:pPr>
        <w:rPr>
          <w:b/>
          <w:bCs/>
        </w:rPr>
      </w:pPr>
    </w:p>
    <w:p w14:paraId="181F0D86" w14:textId="5E0EF086" w:rsidR="00B06F3B" w:rsidRPr="008148BE" w:rsidRDefault="00B06F3B" w:rsidP="00B06F3B">
      <w:pPr>
        <w:jc w:val="center"/>
        <w:rPr>
          <w:b/>
          <w:sz w:val="28"/>
          <w:szCs w:val="28"/>
        </w:rPr>
      </w:pPr>
      <w:r w:rsidRPr="00BD39CD">
        <w:rPr>
          <w:b/>
          <w:noProof/>
          <w:sz w:val="28"/>
          <w:szCs w:val="28"/>
        </w:rPr>
        <w:drawing>
          <wp:inline distT="0" distB="0" distL="0" distR="0" wp14:anchorId="6175AF6B" wp14:editId="42B6134B">
            <wp:extent cx="1323975" cy="1895475"/>
            <wp:effectExtent l="0" t="0" r="9525" b="9525"/>
            <wp:docPr id="2" name="Kép 2" descr="SZSZMIK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ZSZMIKL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895475"/>
                    </a:xfrm>
                    <a:prstGeom prst="rect">
                      <a:avLst/>
                    </a:prstGeom>
                    <a:noFill/>
                    <a:ln>
                      <a:noFill/>
                    </a:ln>
                  </pic:spPr>
                </pic:pic>
              </a:graphicData>
            </a:graphic>
          </wp:inline>
        </w:drawing>
      </w:r>
    </w:p>
    <w:p w14:paraId="7A56959C" w14:textId="77777777" w:rsidR="00B06F3B" w:rsidRPr="008148BE" w:rsidRDefault="00B06F3B" w:rsidP="00B06F3B">
      <w:pPr>
        <w:jc w:val="center"/>
        <w:rPr>
          <w:b/>
          <w:sz w:val="28"/>
          <w:szCs w:val="28"/>
        </w:rPr>
      </w:pPr>
    </w:p>
    <w:p w14:paraId="66B669E5" w14:textId="77777777" w:rsidR="00B06F3B" w:rsidRPr="008148BE" w:rsidRDefault="00B06F3B" w:rsidP="00B06F3B">
      <w:pPr>
        <w:jc w:val="center"/>
        <w:rPr>
          <w:b/>
          <w:sz w:val="28"/>
          <w:szCs w:val="28"/>
        </w:rPr>
      </w:pPr>
    </w:p>
    <w:p w14:paraId="7F096981" w14:textId="77777777" w:rsidR="00B06F3B" w:rsidRPr="008148BE" w:rsidRDefault="00B06F3B" w:rsidP="00B06F3B">
      <w:pPr>
        <w:jc w:val="center"/>
        <w:rPr>
          <w:b/>
          <w:sz w:val="28"/>
          <w:szCs w:val="28"/>
        </w:rPr>
      </w:pPr>
    </w:p>
    <w:p w14:paraId="2721689C" w14:textId="77777777" w:rsidR="00B06F3B" w:rsidRPr="008148BE" w:rsidRDefault="00B06F3B" w:rsidP="00B06F3B">
      <w:pPr>
        <w:jc w:val="center"/>
        <w:rPr>
          <w:b/>
          <w:sz w:val="28"/>
          <w:szCs w:val="28"/>
        </w:rPr>
      </w:pPr>
    </w:p>
    <w:p w14:paraId="47B6EE21" w14:textId="77777777" w:rsidR="00B06F3B" w:rsidRPr="008148BE" w:rsidRDefault="00B06F3B" w:rsidP="00B06F3B">
      <w:pPr>
        <w:jc w:val="center"/>
        <w:rPr>
          <w:b/>
          <w:sz w:val="28"/>
          <w:szCs w:val="28"/>
        </w:rPr>
      </w:pPr>
    </w:p>
    <w:p w14:paraId="4FDA5070" w14:textId="77777777" w:rsidR="00B06F3B" w:rsidRPr="008148BE" w:rsidRDefault="00000000" w:rsidP="00B06F3B">
      <w:pPr>
        <w:jc w:val="center"/>
        <w:rPr>
          <w:b/>
          <w:sz w:val="28"/>
          <w:szCs w:val="28"/>
        </w:rPr>
      </w:pPr>
      <w:r>
        <w:rPr>
          <w:b/>
          <w:sz w:val="28"/>
          <w:szCs w:val="28"/>
        </w:rPr>
        <w:pict w14:anchorId="7AD77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6345C1C2" w14:textId="77777777" w:rsidR="00C51B92" w:rsidRPr="009B79EE" w:rsidRDefault="00C51B92" w:rsidP="00C51B92">
      <w:pPr>
        <w:jc w:val="center"/>
        <w:rPr>
          <w:b/>
          <w:sz w:val="40"/>
          <w:szCs w:val="40"/>
        </w:rPr>
      </w:pPr>
      <w:r w:rsidRPr="009B79EE">
        <w:rPr>
          <w:b/>
          <w:sz w:val="40"/>
          <w:szCs w:val="40"/>
        </w:rPr>
        <w:t xml:space="preserve">SZIGETSZENTMIKLÓS VÁROS </w:t>
      </w:r>
      <w:r w:rsidRPr="009B79EE">
        <w:rPr>
          <w:b/>
          <w:sz w:val="40"/>
          <w:szCs w:val="40"/>
        </w:rPr>
        <w:br/>
        <w:t xml:space="preserve">ÖNKORMÁNYZATA </w:t>
      </w:r>
      <w:r w:rsidRPr="009B79EE">
        <w:rPr>
          <w:b/>
          <w:sz w:val="40"/>
          <w:szCs w:val="40"/>
        </w:rPr>
        <w:br/>
        <w:t>KÉPVISELŐ-TESTÜLETÉNEK</w:t>
      </w:r>
    </w:p>
    <w:p w14:paraId="06271E60" w14:textId="584F870C" w:rsidR="00C51B92" w:rsidRPr="009B79EE" w:rsidRDefault="00C51B92" w:rsidP="00C51B92">
      <w:pPr>
        <w:jc w:val="center"/>
        <w:rPr>
          <w:b/>
          <w:sz w:val="40"/>
          <w:szCs w:val="40"/>
        </w:rPr>
      </w:pPr>
      <w:r>
        <w:rPr>
          <w:b/>
          <w:sz w:val="40"/>
          <w:szCs w:val="40"/>
        </w:rPr>
        <w:t>13/2021.</w:t>
      </w:r>
      <w:r w:rsidRPr="009B79EE">
        <w:rPr>
          <w:b/>
          <w:sz w:val="40"/>
          <w:szCs w:val="40"/>
        </w:rPr>
        <w:t xml:space="preserve"> (</w:t>
      </w:r>
      <w:r>
        <w:rPr>
          <w:b/>
          <w:sz w:val="40"/>
          <w:szCs w:val="40"/>
        </w:rPr>
        <w:t>VII.02.)</w:t>
      </w:r>
      <w:r w:rsidRPr="009B79EE">
        <w:rPr>
          <w:b/>
          <w:sz w:val="40"/>
          <w:szCs w:val="40"/>
        </w:rPr>
        <w:t xml:space="preserve"> ÖNKORMÁNYZATI RENDELETE</w:t>
      </w:r>
    </w:p>
    <w:p w14:paraId="25C4F5C2" w14:textId="3CEB51E3" w:rsidR="00C51B92" w:rsidRDefault="00C51B92" w:rsidP="00C51B92">
      <w:pPr>
        <w:jc w:val="center"/>
        <w:rPr>
          <w:b/>
          <w:sz w:val="40"/>
          <w:szCs w:val="40"/>
        </w:rPr>
      </w:pPr>
    </w:p>
    <w:p w14:paraId="6C488C10" w14:textId="77777777" w:rsidR="00C51B92" w:rsidRPr="00C51B92" w:rsidRDefault="00C51B92" w:rsidP="00C51B92">
      <w:pPr>
        <w:pStyle w:val="Szvegtrzs"/>
        <w:spacing w:after="0" w:line="240" w:lineRule="auto"/>
        <w:jc w:val="center"/>
        <w:rPr>
          <w:b/>
          <w:bCs/>
          <w:sz w:val="40"/>
          <w:szCs w:val="40"/>
        </w:rPr>
      </w:pPr>
      <w:r w:rsidRPr="00C51B92">
        <w:rPr>
          <w:b/>
          <w:bCs/>
          <w:sz w:val="40"/>
          <w:szCs w:val="40"/>
        </w:rPr>
        <w:t>a talajterhelési díjjal kapcsolatos eljárási szabályokról</w:t>
      </w:r>
    </w:p>
    <w:p w14:paraId="2AB13B9C" w14:textId="4C4DDF82" w:rsidR="00C51B92" w:rsidRDefault="00C51B92" w:rsidP="00C51B92">
      <w:pPr>
        <w:jc w:val="center"/>
        <w:rPr>
          <w:b/>
          <w:sz w:val="40"/>
          <w:szCs w:val="40"/>
        </w:rPr>
      </w:pPr>
    </w:p>
    <w:p w14:paraId="0B55A8CA" w14:textId="32BFB315" w:rsidR="004D535E" w:rsidRPr="000B1E53" w:rsidRDefault="004D535E" w:rsidP="004D535E">
      <w:pPr>
        <w:jc w:val="center"/>
        <w:rPr>
          <w:i/>
        </w:rPr>
      </w:pPr>
      <w:r w:rsidRPr="000B1E53">
        <w:rPr>
          <w:i/>
        </w:rPr>
        <w:t xml:space="preserve">Egységes szerkezetben a </w:t>
      </w:r>
      <w:r>
        <w:rPr>
          <w:i/>
        </w:rPr>
        <w:t>7/2023. (III.01.)</w:t>
      </w:r>
      <w:r w:rsidRPr="000B1E53">
        <w:rPr>
          <w:i/>
        </w:rPr>
        <w:t xml:space="preserve"> önkormányzati rendelettel</w:t>
      </w:r>
    </w:p>
    <w:p w14:paraId="62845FA2" w14:textId="77777777" w:rsidR="004D535E" w:rsidRPr="00C51B92" w:rsidRDefault="004D535E" w:rsidP="00C51B92">
      <w:pPr>
        <w:jc w:val="center"/>
        <w:rPr>
          <w:b/>
          <w:sz w:val="40"/>
          <w:szCs w:val="40"/>
        </w:rPr>
      </w:pPr>
    </w:p>
    <w:p w14:paraId="6B9A6901" w14:textId="571BDEF8" w:rsidR="00B06F3B" w:rsidRPr="008148BE" w:rsidRDefault="00B06F3B" w:rsidP="00B06F3B">
      <w:pPr>
        <w:ind w:left="-284" w:right="-142"/>
        <w:jc w:val="center"/>
        <w:rPr>
          <w:b/>
          <w:sz w:val="40"/>
          <w:szCs w:val="40"/>
        </w:rPr>
      </w:pPr>
    </w:p>
    <w:p w14:paraId="2A5B84ED" w14:textId="77777777" w:rsidR="00B06F3B" w:rsidRDefault="00000000" w:rsidP="00B06F3B">
      <w:pPr>
        <w:jc w:val="center"/>
        <w:rPr>
          <w:b/>
          <w:sz w:val="28"/>
          <w:szCs w:val="28"/>
        </w:rPr>
      </w:pPr>
      <w:r>
        <w:rPr>
          <w:b/>
          <w:sz w:val="28"/>
          <w:szCs w:val="28"/>
        </w:rPr>
        <w:pict w14:anchorId="378C3020">
          <v:shape id="_x0000_i1026" type="#_x0000_t75" style="width:450pt;height:7.5pt" o:hrpct="0" o:hralign="center" o:hr="t">
            <v:imagedata r:id="rId9" o:title="BD10358_"/>
          </v:shape>
        </w:pict>
      </w:r>
    </w:p>
    <w:p w14:paraId="0AA34B8F" w14:textId="77777777" w:rsidR="00B06F3B" w:rsidRDefault="00B06F3B">
      <w:pPr>
        <w:rPr>
          <w:b/>
          <w:sz w:val="28"/>
          <w:szCs w:val="28"/>
        </w:rPr>
      </w:pPr>
    </w:p>
    <w:p w14:paraId="66513802" w14:textId="77777777" w:rsidR="00B06F3B" w:rsidRDefault="00B06F3B">
      <w:pPr>
        <w:rPr>
          <w:b/>
          <w:sz w:val="28"/>
          <w:szCs w:val="28"/>
        </w:rPr>
      </w:pPr>
    </w:p>
    <w:p w14:paraId="1DBB3C48" w14:textId="35966944" w:rsidR="00B06F3B" w:rsidRDefault="00B06F3B">
      <w:pPr>
        <w:rPr>
          <w:b/>
          <w:sz w:val="28"/>
          <w:szCs w:val="28"/>
        </w:rPr>
      </w:pPr>
      <w:r>
        <w:rPr>
          <w:b/>
          <w:sz w:val="28"/>
          <w:szCs w:val="28"/>
        </w:rPr>
        <w:br w:type="page"/>
      </w:r>
    </w:p>
    <w:p w14:paraId="73C8E4EE" w14:textId="77777777" w:rsidR="00B06F3B" w:rsidRPr="008148BE" w:rsidRDefault="00B06F3B" w:rsidP="00B06F3B">
      <w:pPr>
        <w:jc w:val="center"/>
        <w:rPr>
          <w:b/>
          <w:sz w:val="28"/>
          <w:szCs w:val="28"/>
        </w:rPr>
        <w:sectPr w:rsidR="00B06F3B" w:rsidRPr="008148BE">
          <w:headerReference w:type="default" r:id="rId10"/>
          <w:footerReference w:type="first" r:id="rId11"/>
          <w:pgSz w:w="11906" w:h="16838"/>
          <w:pgMar w:top="1417" w:right="1417" w:bottom="1417" w:left="1417" w:header="708" w:footer="708" w:gutter="0"/>
          <w:cols w:space="708"/>
          <w:docGrid w:linePitch="360"/>
        </w:sectPr>
      </w:pPr>
    </w:p>
    <w:p w14:paraId="31C5A815" w14:textId="111C411E" w:rsidR="002E0447" w:rsidRDefault="002E0447">
      <w:pPr>
        <w:rPr>
          <w:b/>
          <w:bCs/>
        </w:rPr>
      </w:pPr>
    </w:p>
    <w:p w14:paraId="035CBA4F" w14:textId="77777777" w:rsidR="00D7075A" w:rsidRDefault="00626DF9">
      <w:pPr>
        <w:pStyle w:val="Szvegtrzs"/>
        <w:spacing w:before="220" w:after="0" w:line="240" w:lineRule="auto"/>
        <w:jc w:val="both"/>
      </w:pPr>
      <w:r>
        <w:t>Szigetszentmiklós Város Önkormányzatának Képviselő-testülete a környezetterhelési díjról szóló 2003. évi LXXXIX. törvény 26. § (4) bekezdésében kapott felhatalmazás alapján, Magyarország helyi önkormányzatairól szóló 2011. évi CLXXXIX. törvény 13. § (1) bekezdésében meghatározott feladatkörében eljárva a következőket rendeli el:</w:t>
      </w:r>
    </w:p>
    <w:p w14:paraId="17641F79" w14:textId="77777777" w:rsidR="00D7075A" w:rsidRDefault="00626DF9">
      <w:pPr>
        <w:pStyle w:val="Szvegtrzs"/>
        <w:spacing w:before="220" w:after="0" w:line="240" w:lineRule="auto"/>
        <w:jc w:val="center"/>
        <w:rPr>
          <w:b/>
          <w:bCs/>
        </w:rPr>
      </w:pPr>
      <w:r>
        <w:rPr>
          <w:b/>
          <w:bCs/>
        </w:rPr>
        <w:t>1. Általános rendelkezések</w:t>
      </w:r>
    </w:p>
    <w:p w14:paraId="77183653" w14:textId="77777777" w:rsidR="00D7075A" w:rsidRDefault="00626DF9">
      <w:pPr>
        <w:pStyle w:val="Szvegtrzs"/>
        <w:spacing w:before="220" w:after="0" w:line="240" w:lineRule="auto"/>
        <w:jc w:val="center"/>
        <w:rPr>
          <w:b/>
          <w:bCs/>
        </w:rPr>
      </w:pPr>
      <w:r>
        <w:rPr>
          <w:b/>
          <w:bCs/>
        </w:rPr>
        <w:t>1. §</w:t>
      </w:r>
    </w:p>
    <w:p w14:paraId="76E91864" w14:textId="77777777" w:rsidR="00D7075A" w:rsidRDefault="00626DF9">
      <w:pPr>
        <w:pStyle w:val="Szvegtrzs"/>
        <w:spacing w:before="220" w:after="0" w:line="240" w:lineRule="auto"/>
        <w:jc w:val="both"/>
      </w:pPr>
      <w:r>
        <w:t>A rendelet hatálya kiterjed mindazon kibocsátóra, aki a műszakilag rendelkezésre álló közcsatornára nem köt rá és helyi vízgazdálkodási hatósági, illetve vízjogi engedélyezés hatálya alá tartozó szennyvízelhelyezést alkalmaz, ideértve az egyedi zárt szennyvíztározót is.</w:t>
      </w:r>
    </w:p>
    <w:p w14:paraId="6759B979" w14:textId="77777777" w:rsidR="00D7075A" w:rsidRDefault="00626DF9">
      <w:pPr>
        <w:pStyle w:val="Szvegtrzs"/>
        <w:spacing w:before="220" w:after="0" w:line="240" w:lineRule="auto"/>
        <w:jc w:val="center"/>
        <w:rPr>
          <w:b/>
          <w:bCs/>
        </w:rPr>
      </w:pPr>
      <w:r>
        <w:rPr>
          <w:b/>
          <w:bCs/>
        </w:rPr>
        <w:t>2. §</w:t>
      </w:r>
    </w:p>
    <w:p w14:paraId="782D4E9D" w14:textId="77777777" w:rsidR="00D7075A" w:rsidRDefault="00626DF9">
      <w:pPr>
        <w:pStyle w:val="Szvegtrzs"/>
        <w:spacing w:before="220" w:after="0" w:line="240" w:lineRule="auto"/>
        <w:jc w:val="both"/>
      </w:pPr>
      <w:r>
        <w:t>E rendelet alkalmazásában:</w:t>
      </w:r>
    </w:p>
    <w:p w14:paraId="7D2DE04E" w14:textId="77777777" w:rsidR="00D7075A" w:rsidRDefault="00626DF9">
      <w:pPr>
        <w:pStyle w:val="Szvegtrzs"/>
        <w:spacing w:after="0" w:line="240" w:lineRule="auto"/>
        <w:ind w:left="220"/>
        <w:jc w:val="both"/>
      </w:pPr>
      <w:r>
        <w:t>a) kibocsátó: a környezet védelmének általános szabályairól szóló 1995. évi LIII. törvény 2. § (2) bekezdése szerinti környezethasználó, aki az engedélyhez kötött környezethasználata során a környezet terhelésével járó anyagot bocsát a környezetbe.</w:t>
      </w:r>
    </w:p>
    <w:p w14:paraId="64031987" w14:textId="77777777" w:rsidR="00D7075A" w:rsidRDefault="00626DF9">
      <w:pPr>
        <w:pStyle w:val="Szvegtrzs"/>
        <w:spacing w:after="0" w:line="240" w:lineRule="auto"/>
        <w:ind w:left="220"/>
        <w:jc w:val="both"/>
      </w:pPr>
      <w:r>
        <w:t>b) helyi közszolgáltató: Fővárosi Vízművek Zrt.</w:t>
      </w:r>
    </w:p>
    <w:p w14:paraId="65F7405C" w14:textId="77777777" w:rsidR="00D7075A" w:rsidRDefault="00626DF9">
      <w:pPr>
        <w:pStyle w:val="Szvegtrzs"/>
        <w:spacing w:before="220" w:after="0" w:line="240" w:lineRule="auto"/>
        <w:jc w:val="center"/>
        <w:rPr>
          <w:b/>
          <w:bCs/>
        </w:rPr>
      </w:pPr>
      <w:r>
        <w:rPr>
          <w:b/>
          <w:bCs/>
        </w:rPr>
        <w:t>2. A talajterhelési díj mértéke és megfizetése</w:t>
      </w:r>
    </w:p>
    <w:p w14:paraId="596CEDF9" w14:textId="77777777" w:rsidR="00D7075A" w:rsidRDefault="00626DF9">
      <w:pPr>
        <w:pStyle w:val="Szvegtrzs"/>
        <w:spacing w:before="220" w:after="0" w:line="240" w:lineRule="auto"/>
        <w:jc w:val="center"/>
        <w:rPr>
          <w:b/>
          <w:bCs/>
        </w:rPr>
      </w:pPr>
      <w:r>
        <w:rPr>
          <w:b/>
          <w:bCs/>
        </w:rPr>
        <w:t>3. §</w:t>
      </w:r>
    </w:p>
    <w:p w14:paraId="42F26085" w14:textId="77777777" w:rsidR="00D7075A" w:rsidRDefault="00626DF9">
      <w:pPr>
        <w:pStyle w:val="Szvegtrzs"/>
        <w:spacing w:before="220" w:after="0" w:line="240" w:lineRule="auto"/>
        <w:jc w:val="both"/>
      </w:pPr>
      <w:r>
        <w:t>(1) A talajterhelési díj mértékét a talajterhelési díj alapja, az egységdíj, valamint Szigetszentmiklós közigazgatási területére vonatkozó területérzékenységi szorzó határozza meg.</w:t>
      </w:r>
    </w:p>
    <w:p w14:paraId="676D99D8" w14:textId="77777777" w:rsidR="00D7075A" w:rsidRDefault="00626DF9">
      <w:pPr>
        <w:pStyle w:val="Szvegtrzs"/>
        <w:spacing w:before="220" w:after="0" w:line="240" w:lineRule="auto"/>
        <w:jc w:val="both"/>
      </w:pPr>
      <w:r>
        <w:t>(2) A talajterhelési díj alapja a szolgáltatott, vagy egyedi vízbeszerzés esetében a méréssel igazolt felhasznált, illetve mérési lehetőség hiányában az átalány alapján meghatározott víz mennyisége, csökkentve a külön jogszabály szerinti locsolási célú felhasználásra figyelembe vett víz mennyiségével.</w:t>
      </w:r>
    </w:p>
    <w:p w14:paraId="72B3D0E7" w14:textId="77777777" w:rsidR="00D7075A" w:rsidRDefault="00626DF9">
      <w:pPr>
        <w:pStyle w:val="Szvegtrzs"/>
        <w:spacing w:before="220" w:after="0" w:line="240" w:lineRule="auto"/>
        <w:jc w:val="both"/>
      </w:pPr>
      <w:r>
        <w:t>(3) A talajterhelési díj egységdíjának mértéke: 1 200 Ft/m</w:t>
      </w:r>
      <w:r>
        <w:rPr>
          <w:vertAlign w:val="superscript"/>
        </w:rPr>
        <w:t>3</w:t>
      </w:r>
    </w:p>
    <w:p w14:paraId="77621B29" w14:textId="77777777" w:rsidR="00D7075A" w:rsidRDefault="00626DF9">
      <w:pPr>
        <w:pStyle w:val="Szvegtrzs"/>
        <w:spacing w:before="220" w:after="0" w:line="240" w:lineRule="auto"/>
        <w:jc w:val="both"/>
      </w:pPr>
      <w:r>
        <w:t>(4) Szigetszentmiklós város közigazgatási területére vonatkozó, a felszín alatti víz állapota szempontjából megállapított területérzékenységi szorzó: 3,0</w:t>
      </w:r>
    </w:p>
    <w:p w14:paraId="09B8EDCE" w14:textId="77777777" w:rsidR="00D7075A" w:rsidRDefault="00626DF9">
      <w:pPr>
        <w:pStyle w:val="Szvegtrzs"/>
        <w:spacing w:before="220" w:after="0" w:line="240" w:lineRule="auto"/>
        <w:jc w:val="center"/>
        <w:rPr>
          <w:b/>
          <w:bCs/>
        </w:rPr>
      </w:pPr>
      <w:r>
        <w:rPr>
          <w:b/>
          <w:bCs/>
        </w:rPr>
        <w:t>4. §</w:t>
      </w:r>
    </w:p>
    <w:p w14:paraId="1687BFB2" w14:textId="77777777" w:rsidR="00D7075A" w:rsidRDefault="00626DF9">
      <w:pPr>
        <w:pStyle w:val="Szvegtrzs"/>
        <w:spacing w:before="220" w:after="0" w:line="240" w:lineRule="auto"/>
        <w:jc w:val="both"/>
      </w:pPr>
      <w:r>
        <w:t>(1) A talajterhelési díjat a kibocsátónak kell megállapítania, bevallania és megfizetnie a tárgyévet követő év március 31. napjáig.</w:t>
      </w:r>
    </w:p>
    <w:p w14:paraId="70D1CA8E" w14:textId="77777777" w:rsidR="00D7075A" w:rsidRDefault="00626DF9">
      <w:pPr>
        <w:pStyle w:val="Szvegtrzs"/>
        <w:spacing w:before="220" w:after="0" w:line="240" w:lineRule="auto"/>
        <w:jc w:val="both"/>
      </w:pPr>
      <w:r>
        <w:t>(2) A díjfizetési kötelezettség keletkezéséről a rendelet 1. melléklete szerinti formanyomtatványon kell bevallást tenni.</w:t>
      </w:r>
    </w:p>
    <w:p w14:paraId="3B54A0F3" w14:textId="03FACEA1" w:rsidR="00D7075A" w:rsidRDefault="00626DF9">
      <w:pPr>
        <w:pStyle w:val="Szvegtrzs"/>
        <w:spacing w:before="220" w:after="0" w:line="240" w:lineRule="auto"/>
        <w:jc w:val="both"/>
      </w:pPr>
      <w:r>
        <w:t>(3) Ha a kibocsátó több ingatlannal vagy telephellyel rendelkezik, bevallásában az adatokat ingatlanonként, telephelyenként kell feltüntetnie.</w:t>
      </w:r>
    </w:p>
    <w:p w14:paraId="47D5A8D7" w14:textId="6ABB1C57" w:rsidR="00B06F3B" w:rsidRDefault="00B06F3B">
      <w:pPr>
        <w:pStyle w:val="Szvegtrzs"/>
        <w:spacing w:before="220" w:after="0" w:line="240" w:lineRule="auto"/>
        <w:jc w:val="both"/>
      </w:pPr>
    </w:p>
    <w:p w14:paraId="273B2673" w14:textId="77777777" w:rsidR="00B06F3B" w:rsidRDefault="00B06F3B">
      <w:pPr>
        <w:pStyle w:val="Szvegtrzs"/>
        <w:spacing w:before="220" w:after="0" w:line="240" w:lineRule="auto"/>
        <w:jc w:val="both"/>
      </w:pPr>
    </w:p>
    <w:p w14:paraId="38AF4B64" w14:textId="77777777" w:rsidR="00D7075A" w:rsidRDefault="00626DF9">
      <w:pPr>
        <w:pStyle w:val="Szvegtrzs"/>
        <w:spacing w:before="220" w:after="0" w:line="240" w:lineRule="auto"/>
        <w:jc w:val="center"/>
        <w:rPr>
          <w:b/>
          <w:bCs/>
        </w:rPr>
      </w:pPr>
      <w:r>
        <w:rPr>
          <w:b/>
          <w:bCs/>
        </w:rPr>
        <w:t>5. §</w:t>
      </w:r>
    </w:p>
    <w:p w14:paraId="37EC0F40" w14:textId="77777777" w:rsidR="00D7075A" w:rsidRDefault="00626DF9">
      <w:pPr>
        <w:pStyle w:val="Szvegtrzs"/>
        <w:spacing w:before="220" w:after="0" w:line="240" w:lineRule="auto"/>
        <w:jc w:val="both"/>
      </w:pPr>
      <w:r>
        <w:t>(1) A talajterhelési díjat egy összegben, a bevallással egyidejűleg kell megfizetni Szigetszentmiklós Város Önkormányzatának 11742252-15393276-03920000 számú talajterhelési díj számlájára.</w:t>
      </w:r>
    </w:p>
    <w:p w14:paraId="7611CE82" w14:textId="77777777" w:rsidR="00D7075A" w:rsidRDefault="00626DF9">
      <w:pPr>
        <w:pStyle w:val="Szvegtrzs"/>
        <w:spacing w:before="220" w:after="0" w:line="240" w:lineRule="auto"/>
        <w:jc w:val="both"/>
      </w:pPr>
      <w:r>
        <w:t>(2) A talajterhelési díjfizetési kötelezettség megszűnik a közcsatornára történő rákötés napján.</w:t>
      </w:r>
    </w:p>
    <w:p w14:paraId="242C3D46" w14:textId="77777777" w:rsidR="00D7075A" w:rsidRDefault="00626DF9">
      <w:pPr>
        <w:pStyle w:val="Szvegtrzs"/>
        <w:spacing w:before="220" w:after="0" w:line="240" w:lineRule="auto"/>
        <w:jc w:val="center"/>
        <w:rPr>
          <w:b/>
          <w:bCs/>
        </w:rPr>
      </w:pPr>
      <w:r>
        <w:rPr>
          <w:b/>
          <w:bCs/>
        </w:rPr>
        <w:t>3. Díjkedvezmény, díjmentességek megállapítása</w:t>
      </w:r>
    </w:p>
    <w:p w14:paraId="50377D92" w14:textId="77777777" w:rsidR="00D7075A" w:rsidRDefault="00626DF9">
      <w:pPr>
        <w:pStyle w:val="Szvegtrzs"/>
        <w:spacing w:before="220" w:after="0" w:line="240" w:lineRule="auto"/>
        <w:jc w:val="center"/>
        <w:rPr>
          <w:b/>
          <w:bCs/>
        </w:rPr>
      </w:pPr>
      <w:r>
        <w:rPr>
          <w:b/>
          <w:bCs/>
        </w:rPr>
        <w:t>6. §</w:t>
      </w:r>
    </w:p>
    <w:p w14:paraId="7BD92D64" w14:textId="77777777" w:rsidR="00D7075A" w:rsidRDefault="00626DF9">
      <w:pPr>
        <w:pStyle w:val="Szvegtrzs"/>
        <w:spacing w:before="220" w:after="0" w:line="240" w:lineRule="auto"/>
        <w:jc w:val="both"/>
      </w:pPr>
      <w:r>
        <w:t>A kibocsátók 2021. december 31. napjáig díjkedvezményben részesülnek, mely szerint a talajterhelési díj 30%-át kötelesek megfizetni azzal, hogy a ténylegesen fizetendő talajterhelési díj összegéből az 50.000 Ft-ot meghaladó részt nem kell megfizetni.</w:t>
      </w:r>
    </w:p>
    <w:p w14:paraId="55AF4FFC" w14:textId="77777777" w:rsidR="00D7075A" w:rsidRDefault="00626DF9">
      <w:pPr>
        <w:pStyle w:val="Szvegtrzs"/>
        <w:spacing w:before="220" w:after="0" w:line="240" w:lineRule="auto"/>
        <w:jc w:val="center"/>
        <w:rPr>
          <w:b/>
          <w:bCs/>
        </w:rPr>
      </w:pPr>
      <w:r>
        <w:rPr>
          <w:b/>
          <w:bCs/>
        </w:rPr>
        <w:t>7. §</w:t>
      </w:r>
    </w:p>
    <w:p w14:paraId="419C5DB9" w14:textId="4382BC9D" w:rsidR="00D7075A" w:rsidRDefault="00626DF9">
      <w:pPr>
        <w:pStyle w:val="Szvegtrzs"/>
        <w:spacing w:before="220" w:after="0" w:line="240" w:lineRule="auto"/>
        <w:jc w:val="both"/>
      </w:pPr>
      <w:r>
        <w:t>(1) A 2020-2021. évi talajterhelési díjfizetési kötelezettség alól mentesül az a kibocsátó, aki a közcsatornára, önhibáján kívül nem tudott rákötni és ezt hitelt érdemlően igazolja, továbbá kötelezettséget vállal arra, hogy a rákötést 2021. december 31. napjáig elvégzi.</w:t>
      </w:r>
    </w:p>
    <w:p w14:paraId="26C4609E" w14:textId="0D103BC4" w:rsidR="00D7075A" w:rsidRDefault="00626DF9">
      <w:pPr>
        <w:pStyle w:val="Szvegtrzs"/>
        <w:spacing w:before="220" w:after="0" w:line="240" w:lineRule="auto"/>
        <w:jc w:val="both"/>
      </w:pPr>
      <w:r>
        <w:t>(2) Az a kibocsátó, aki az (1) bekezdésben meghatározott határidő elteltéig szennyvízelvezetési szolgáltatási szerződéssel nem rendelkezik, a 2020.-2021. évi talajterhelési díjat egy összegben, a 2021. évre vonatkozó bevalláskor utólag köteles megfizetni.</w:t>
      </w:r>
    </w:p>
    <w:p w14:paraId="0866722F" w14:textId="0DC04F27" w:rsidR="00060A1C" w:rsidRDefault="00060A1C" w:rsidP="00060A1C">
      <w:pPr>
        <w:pStyle w:val="Szvegtrzs"/>
        <w:spacing w:before="240" w:after="240" w:line="240" w:lineRule="auto"/>
        <w:jc w:val="center"/>
        <w:rPr>
          <w:b/>
          <w:bCs/>
        </w:rPr>
      </w:pPr>
      <w:r>
        <w:rPr>
          <w:b/>
          <w:bCs/>
        </w:rPr>
        <w:t>7/A. §</w:t>
      </w:r>
      <w:r w:rsidR="009466E2">
        <w:rPr>
          <w:rStyle w:val="Lbjegyzet-hivatkozs"/>
          <w:b/>
          <w:bCs/>
        </w:rPr>
        <w:footnoteReference w:id="1"/>
      </w:r>
    </w:p>
    <w:p w14:paraId="5D372AA6" w14:textId="0DA939F0" w:rsidR="00060A1C" w:rsidRDefault="00060A1C" w:rsidP="00060A1C">
      <w:pPr>
        <w:pStyle w:val="Szvegtrzs"/>
        <w:spacing w:after="240" w:line="240" w:lineRule="auto"/>
        <w:jc w:val="both"/>
      </w:pPr>
      <w:r>
        <w:t>2022. január 1-től a talajterhelési díjfizetési kötelezettség alól mentesül az a kibocsátó, aki a szennyvíztisztító telep bővítésének átadását követően az adott év december 31. napjáig a közcsatornára ráköt.</w:t>
      </w:r>
    </w:p>
    <w:p w14:paraId="56BB6224" w14:textId="77777777" w:rsidR="00D7075A" w:rsidRDefault="00626DF9">
      <w:pPr>
        <w:pStyle w:val="Szvegtrzs"/>
        <w:spacing w:before="220" w:after="0" w:line="240" w:lineRule="auto"/>
        <w:jc w:val="center"/>
        <w:rPr>
          <w:b/>
          <w:bCs/>
        </w:rPr>
      </w:pPr>
      <w:r>
        <w:rPr>
          <w:b/>
          <w:bCs/>
        </w:rPr>
        <w:t>4. A talajterhelési díjjal kapcsolatos adatszolgáltatási kötelezettség</w:t>
      </w:r>
    </w:p>
    <w:p w14:paraId="6DB0E9A0" w14:textId="77777777" w:rsidR="00D7075A" w:rsidRDefault="00626DF9">
      <w:pPr>
        <w:pStyle w:val="Szvegtrzs"/>
        <w:spacing w:before="220" w:after="0" w:line="240" w:lineRule="auto"/>
        <w:jc w:val="center"/>
        <w:rPr>
          <w:b/>
          <w:bCs/>
        </w:rPr>
      </w:pPr>
      <w:r>
        <w:rPr>
          <w:b/>
          <w:bCs/>
        </w:rPr>
        <w:t>8. §</w:t>
      </w:r>
    </w:p>
    <w:p w14:paraId="36FF8434" w14:textId="77777777" w:rsidR="00D7075A" w:rsidRDefault="00626DF9">
      <w:pPr>
        <w:pStyle w:val="Szvegtrzs"/>
        <w:spacing w:before="220" w:after="0" w:line="240" w:lineRule="auto"/>
        <w:jc w:val="both"/>
      </w:pPr>
      <w:r>
        <w:t>(1) A helyi közszolgáltató a tárgyévet követő év február 28. napjáig helyi vízgazdálkodási hatósági jogkörbe tartozó szennyvízelhelyezéshez kapcsolódó talajterhelési díj megállapításához és ellenőrzéséhez szükséges adatokat a települési önkormányzat rendelkezésére bocsátja.</w:t>
      </w:r>
    </w:p>
    <w:p w14:paraId="037F9A15" w14:textId="77777777" w:rsidR="00D7075A" w:rsidRDefault="00626DF9">
      <w:pPr>
        <w:pStyle w:val="Szvegtrzs"/>
        <w:spacing w:before="220" w:after="0" w:line="240" w:lineRule="auto"/>
        <w:jc w:val="both"/>
      </w:pPr>
      <w:r>
        <w:t>(2) A helyi közszolgáltató (1) bekezdésében meghatározott adatszolgáltatásnak az alábbiakat kell tartalmaznia:</w:t>
      </w:r>
    </w:p>
    <w:p w14:paraId="5146CD47" w14:textId="77777777" w:rsidR="00D7075A" w:rsidRDefault="00626DF9">
      <w:pPr>
        <w:pStyle w:val="Szvegtrzs"/>
        <w:spacing w:after="0" w:line="240" w:lineRule="auto"/>
        <w:ind w:left="220"/>
        <w:jc w:val="both"/>
      </w:pPr>
      <w:r>
        <w:t>a) a kibocsátó részére szolgáltatott víz m</w:t>
      </w:r>
      <w:r>
        <w:rPr>
          <w:vertAlign w:val="superscript"/>
        </w:rPr>
        <w:t>3</w:t>
      </w:r>
      <w:r>
        <w:t>-ben megjelölt éves mennyiségét,</w:t>
      </w:r>
    </w:p>
    <w:p w14:paraId="243DF8BB" w14:textId="77777777" w:rsidR="00D7075A" w:rsidRDefault="00626DF9">
      <w:pPr>
        <w:pStyle w:val="Szvegtrzs"/>
        <w:spacing w:after="0" w:line="240" w:lineRule="auto"/>
        <w:ind w:left="220"/>
        <w:jc w:val="both"/>
      </w:pPr>
      <w:r>
        <w:t>b) ingatlanonként az ivóvízvezeték meghibásodása következtében elszivárgott víz m3-ben megjelölt mennyiségét,</w:t>
      </w:r>
    </w:p>
    <w:p w14:paraId="787BF2E6" w14:textId="77777777" w:rsidR="00D7075A" w:rsidRDefault="00626DF9">
      <w:pPr>
        <w:pStyle w:val="Szvegtrzs"/>
        <w:spacing w:after="0" w:line="240" w:lineRule="auto"/>
        <w:ind w:left="220"/>
        <w:jc w:val="both"/>
      </w:pPr>
      <w:r>
        <w:t>c) arról szóló tájékoztatást, hogy az adott ingatlan esetében a szennyvízcsatorna rákötés megtörtént-e,</w:t>
      </w:r>
    </w:p>
    <w:p w14:paraId="46226102" w14:textId="77777777" w:rsidR="00D7075A" w:rsidRDefault="00626DF9">
      <w:pPr>
        <w:pStyle w:val="Szvegtrzs"/>
        <w:spacing w:after="0" w:line="240" w:lineRule="auto"/>
        <w:ind w:left="220"/>
        <w:jc w:val="both"/>
      </w:pPr>
      <w:r>
        <w:t>d) a közcsatornára való rákötés műszaki akadályát ingatlanonkénti bontásban,</w:t>
      </w:r>
    </w:p>
    <w:p w14:paraId="2FF06285" w14:textId="77777777" w:rsidR="00D7075A" w:rsidRDefault="00626DF9">
      <w:pPr>
        <w:pStyle w:val="Szvegtrzs"/>
        <w:spacing w:after="0" w:line="240" w:lineRule="auto"/>
        <w:ind w:left="220"/>
        <w:jc w:val="both"/>
      </w:pPr>
      <w:r>
        <w:t>e) a locsolási kedvezmény alapján a locsolásra felhasznált víz mennyiségét, m</w:t>
      </w:r>
      <w:r>
        <w:rPr>
          <w:vertAlign w:val="superscript"/>
        </w:rPr>
        <w:t>3</w:t>
      </w:r>
      <w:r>
        <w:t>-ben,</w:t>
      </w:r>
    </w:p>
    <w:p w14:paraId="34004529" w14:textId="77777777" w:rsidR="00D7075A" w:rsidRDefault="00626DF9">
      <w:pPr>
        <w:pStyle w:val="Szvegtrzs"/>
        <w:spacing w:after="0" w:line="240" w:lineRule="auto"/>
        <w:ind w:left="220"/>
        <w:jc w:val="both"/>
      </w:pPr>
      <w:r>
        <w:t>f) a kibocsátó azonosításához szükséges adatokról.</w:t>
      </w:r>
    </w:p>
    <w:p w14:paraId="0969FC41" w14:textId="77777777" w:rsidR="00D7075A" w:rsidRDefault="00626DF9">
      <w:pPr>
        <w:pStyle w:val="Szvegtrzs"/>
        <w:spacing w:before="220" w:after="0" w:line="240" w:lineRule="auto"/>
        <w:jc w:val="center"/>
        <w:rPr>
          <w:b/>
          <w:bCs/>
        </w:rPr>
      </w:pPr>
      <w:r>
        <w:rPr>
          <w:b/>
          <w:bCs/>
        </w:rPr>
        <w:lastRenderedPageBreak/>
        <w:t>5. Mulasztás jogkövetkezményei, ellenőrzés</w:t>
      </w:r>
    </w:p>
    <w:p w14:paraId="41FF1298" w14:textId="77777777" w:rsidR="00D7075A" w:rsidRDefault="00626DF9">
      <w:pPr>
        <w:pStyle w:val="Szvegtrzs"/>
        <w:spacing w:before="220" w:after="0" w:line="240" w:lineRule="auto"/>
        <w:jc w:val="center"/>
        <w:rPr>
          <w:b/>
          <w:bCs/>
        </w:rPr>
      </w:pPr>
      <w:r>
        <w:rPr>
          <w:b/>
          <w:bCs/>
        </w:rPr>
        <w:t>9. §</w:t>
      </w:r>
    </w:p>
    <w:p w14:paraId="717927E8" w14:textId="233ED263" w:rsidR="00D7075A" w:rsidRDefault="00626DF9">
      <w:pPr>
        <w:pStyle w:val="Szvegtrzs"/>
        <w:spacing w:before="220" w:after="0" w:line="240" w:lineRule="auto"/>
        <w:jc w:val="both"/>
      </w:pPr>
      <w:r>
        <w:t>A bevallás és a talajterhelési díj befizetésének elmulasztása esetén alkalmazandó jogkövetkezményeire, valamint az ellenőrzésre az adózás rendjéről szóló 2017. évi CL. törvény és az adóhatóság által foganatosítandó végrehajtási eljárásokról szóló 2017. évi CLIII. törvény rendelkezéseit kell alkalmazni.</w:t>
      </w:r>
    </w:p>
    <w:p w14:paraId="3C19D3D1" w14:textId="77777777" w:rsidR="00B06F3B" w:rsidRDefault="00B06F3B">
      <w:pPr>
        <w:pStyle w:val="Szvegtrzs"/>
        <w:spacing w:before="220" w:after="0" w:line="240" w:lineRule="auto"/>
        <w:jc w:val="both"/>
      </w:pPr>
    </w:p>
    <w:p w14:paraId="4FFCF58D" w14:textId="77777777" w:rsidR="00D7075A" w:rsidRDefault="00626DF9">
      <w:pPr>
        <w:pStyle w:val="Szvegtrzs"/>
        <w:spacing w:before="220" w:after="0" w:line="240" w:lineRule="auto"/>
        <w:jc w:val="center"/>
        <w:rPr>
          <w:b/>
          <w:bCs/>
        </w:rPr>
      </w:pPr>
      <w:r>
        <w:rPr>
          <w:b/>
          <w:bCs/>
        </w:rPr>
        <w:t>6. Záró rendelkezések</w:t>
      </w:r>
    </w:p>
    <w:p w14:paraId="36650F3F" w14:textId="77777777" w:rsidR="00D7075A" w:rsidRDefault="00626DF9">
      <w:pPr>
        <w:pStyle w:val="Szvegtrzs"/>
        <w:spacing w:before="220" w:after="0" w:line="240" w:lineRule="auto"/>
        <w:jc w:val="center"/>
        <w:rPr>
          <w:b/>
          <w:bCs/>
        </w:rPr>
      </w:pPr>
      <w:r>
        <w:rPr>
          <w:b/>
          <w:bCs/>
        </w:rPr>
        <w:t>10. §</w:t>
      </w:r>
    </w:p>
    <w:p w14:paraId="5E06A260" w14:textId="77777777" w:rsidR="00D7075A" w:rsidRDefault="00626DF9">
      <w:pPr>
        <w:pStyle w:val="Szvegtrzs"/>
        <w:spacing w:before="220" w:after="0" w:line="240" w:lineRule="auto"/>
        <w:jc w:val="both"/>
      </w:pPr>
      <w:r>
        <w:t>Hatályát veszti a talajterhelési díjjal kapcsolatos eljárási szabályokról szóló 20/2011. (VI. 30.) önkormányzati rendelet.</w:t>
      </w:r>
    </w:p>
    <w:p w14:paraId="3F902972" w14:textId="77777777" w:rsidR="00D7075A" w:rsidRDefault="00626DF9">
      <w:pPr>
        <w:pStyle w:val="Szvegtrzs"/>
        <w:spacing w:before="220" w:after="0" w:line="240" w:lineRule="auto"/>
        <w:jc w:val="center"/>
        <w:rPr>
          <w:b/>
          <w:bCs/>
        </w:rPr>
      </w:pPr>
      <w:r>
        <w:rPr>
          <w:b/>
          <w:bCs/>
        </w:rPr>
        <w:t>11. §</w:t>
      </w:r>
    </w:p>
    <w:p w14:paraId="53C8FCEF" w14:textId="77777777" w:rsidR="002E0447" w:rsidRDefault="00626DF9">
      <w:pPr>
        <w:pStyle w:val="Szvegtrzs"/>
        <w:spacing w:before="220" w:after="0" w:line="240" w:lineRule="auto"/>
        <w:jc w:val="both"/>
      </w:pPr>
      <w:r>
        <w:t>Ez a rendelet a kihirdetését követő napon lép hatályba.</w:t>
      </w:r>
    </w:p>
    <w:p w14:paraId="668D6B09" w14:textId="77777777" w:rsidR="002E0447" w:rsidRDefault="002E0447">
      <w:pPr>
        <w:pStyle w:val="Szvegtrzs"/>
        <w:spacing w:before="220" w:after="0" w:line="240" w:lineRule="auto"/>
        <w:jc w:val="both"/>
      </w:pPr>
    </w:p>
    <w:p w14:paraId="511ABC92" w14:textId="77777777" w:rsidR="002E0447" w:rsidRDefault="002E0447">
      <w:pPr>
        <w:pStyle w:val="Szvegtrzs"/>
        <w:spacing w:before="220" w:after="0" w:line="240" w:lineRule="auto"/>
        <w:jc w:val="both"/>
      </w:pPr>
    </w:p>
    <w:tbl>
      <w:tblPr>
        <w:tblW w:w="9781" w:type="dxa"/>
        <w:tblLayout w:type="fixed"/>
        <w:tblLook w:val="01E0" w:firstRow="1" w:lastRow="1" w:firstColumn="1" w:lastColumn="1" w:noHBand="0" w:noVBand="0"/>
      </w:tblPr>
      <w:tblGrid>
        <w:gridCol w:w="6379"/>
        <w:gridCol w:w="3402"/>
      </w:tblGrid>
      <w:tr w:rsidR="00B06F3B" w:rsidRPr="0012278B" w14:paraId="253D696D" w14:textId="77777777" w:rsidTr="00FA5B5A">
        <w:tc>
          <w:tcPr>
            <w:tcW w:w="6379" w:type="dxa"/>
            <w:vAlign w:val="bottom"/>
          </w:tcPr>
          <w:p w14:paraId="0E0A889E" w14:textId="6B28283A" w:rsidR="00B06F3B" w:rsidRPr="0012278B" w:rsidRDefault="00B06F3B" w:rsidP="00FA5B5A">
            <w:pPr>
              <w:autoSpaceDE w:val="0"/>
              <w:autoSpaceDN w:val="0"/>
              <w:adjustRightInd w:val="0"/>
              <w:spacing w:before="360"/>
              <w:ind w:left="800"/>
              <w:rPr>
                <w:rFonts w:eastAsia="Times New Roman" w:cs="Times New Roman"/>
                <w:b/>
              </w:rPr>
            </w:pPr>
            <w:r w:rsidRPr="0012278B">
              <w:rPr>
                <w:rFonts w:eastAsia="Times New Roman" w:cs="Times New Roman"/>
                <w:b/>
              </w:rPr>
              <w:t>dr. Szilágyi Anita</w:t>
            </w:r>
            <w:r w:rsidRPr="0012278B">
              <w:rPr>
                <w:rFonts w:eastAsia="Times New Roman" w:cs="Times New Roman"/>
                <w:b/>
              </w:rPr>
              <w:br/>
              <w:t xml:space="preserve">         </w:t>
            </w:r>
            <w:r w:rsidRPr="0012278B">
              <w:rPr>
                <w:rFonts w:eastAsia="Times New Roman" w:cs="Times New Roman"/>
                <w:bCs/>
              </w:rPr>
              <w:t>jegyző</w:t>
            </w:r>
            <w:r w:rsidRPr="0012278B">
              <w:rPr>
                <w:rFonts w:eastAsia="Times New Roman" w:cs="Times New Roman"/>
                <w:b/>
              </w:rPr>
              <w:t xml:space="preserve"> </w:t>
            </w:r>
          </w:p>
        </w:tc>
        <w:tc>
          <w:tcPr>
            <w:tcW w:w="3402" w:type="dxa"/>
            <w:vAlign w:val="center"/>
          </w:tcPr>
          <w:p w14:paraId="4527DC5B" w14:textId="77777777" w:rsidR="00B06F3B" w:rsidRPr="0012278B" w:rsidRDefault="00B06F3B" w:rsidP="00FA5B5A">
            <w:pPr>
              <w:autoSpaceDE w:val="0"/>
              <w:autoSpaceDN w:val="0"/>
              <w:adjustRightInd w:val="0"/>
              <w:spacing w:before="360"/>
              <w:ind w:left="800"/>
              <w:rPr>
                <w:rFonts w:eastAsia="Times New Roman" w:cs="Times New Roman"/>
                <w:b/>
              </w:rPr>
            </w:pPr>
            <w:r w:rsidRPr="0012278B">
              <w:rPr>
                <w:rFonts w:eastAsia="Times New Roman" w:cs="Times New Roman"/>
                <w:b/>
              </w:rPr>
              <w:t>Nagy János</w:t>
            </w:r>
            <w:r w:rsidRPr="0012278B">
              <w:rPr>
                <w:rFonts w:eastAsia="Times New Roman" w:cs="Times New Roman"/>
                <w:b/>
              </w:rPr>
              <w:br/>
            </w:r>
            <w:r w:rsidRPr="0012278B">
              <w:rPr>
                <w:rFonts w:eastAsia="Times New Roman" w:cs="Times New Roman"/>
                <w:bCs/>
              </w:rPr>
              <w:t>polgármester</w:t>
            </w:r>
          </w:p>
        </w:tc>
      </w:tr>
    </w:tbl>
    <w:p w14:paraId="40023052" w14:textId="77777777" w:rsidR="00B06F3B" w:rsidRPr="0012278B" w:rsidRDefault="00B06F3B" w:rsidP="00B06F3B">
      <w:pPr>
        <w:rPr>
          <w:rFonts w:cs="Times New Roman"/>
        </w:rPr>
      </w:pPr>
    </w:p>
    <w:p w14:paraId="2F049CB2" w14:textId="77777777" w:rsidR="00B06F3B" w:rsidRPr="0012278B" w:rsidRDefault="00B06F3B" w:rsidP="00B06F3B">
      <w:pPr>
        <w:rPr>
          <w:rFonts w:cs="Times New Roman"/>
        </w:rPr>
      </w:pPr>
    </w:p>
    <w:p w14:paraId="5EFC2983" w14:textId="77777777" w:rsidR="00B06F3B" w:rsidRPr="0012278B" w:rsidRDefault="00B06F3B" w:rsidP="00B06F3B">
      <w:pPr>
        <w:rPr>
          <w:rFonts w:cs="Times New Roman"/>
        </w:rPr>
      </w:pPr>
    </w:p>
    <w:p w14:paraId="0AD1600F" w14:textId="77777777" w:rsidR="00B06F3B" w:rsidRPr="0012278B" w:rsidRDefault="00B06F3B" w:rsidP="00B06F3B">
      <w:pPr>
        <w:keepNext/>
        <w:spacing w:before="240" w:after="240"/>
        <w:jc w:val="center"/>
        <w:outlineLvl w:val="0"/>
        <w:rPr>
          <w:rFonts w:cs="Times New Roman"/>
          <w:b/>
          <w:bCs/>
          <w:color w:val="000000"/>
          <w:kern w:val="32"/>
        </w:rPr>
      </w:pPr>
    </w:p>
    <w:p w14:paraId="1D5ECE48" w14:textId="77777777" w:rsidR="00B06F3B" w:rsidRPr="00F450FD" w:rsidRDefault="00B06F3B" w:rsidP="00B06F3B">
      <w:pPr>
        <w:keepNext/>
        <w:spacing w:before="240" w:after="240"/>
        <w:jc w:val="center"/>
        <w:outlineLvl w:val="0"/>
        <w:rPr>
          <w:rFonts w:cs="Times New Roman"/>
          <w:b/>
          <w:bCs/>
          <w:color w:val="000000"/>
          <w:kern w:val="32"/>
          <w:sz w:val="28"/>
          <w:szCs w:val="28"/>
        </w:rPr>
      </w:pPr>
      <w:r w:rsidRPr="00F450FD">
        <w:rPr>
          <w:rFonts w:cs="Times New Roman"/>
          <w:b/>
          <w:bCs/>
          <w:color w:val="000000"/>
          <w:kern w:val="32"/>
          <w:sz w:val="28"/>
          <w:szCs w:val="28"/>
        </w:rPr>
        <w:t>ZÁRADÉK</w:t>
      </w:r>
    </w:p>
    <w:p w14:paraId="33E2B7D7" w14:textId="4735ED59" w:rsidR="00B06F3B" w:rsidRPr="00831634" w:rsidRDefault="00B06F3B" w:rsidP="00B06F3B">
      <w:pPr>
        <w:jc w:val="both"/>
        <w:rPr>
          <w:rFonts w:cs="Times New Roman"/>
        </w:rPr>
      </w:pPr>
      <w:r w:rsidRPr="00831634">
        <w:rPr>
          <w:rFonts w:cs="Times New Roman"/>
        </w:rPr>
        <w:t>Szigetszentmiklós Város Képviselő-testülete ezen rendeletét 202</w:t>
      </w:r>
      <w:r>
        <w:rPr>
          <w:rFonts w:cs="Times New Roman"/>
        </w:rPr>
        <w:t>1</w:t>
      </w:r>
      <w:r w:rsidRPr="00831634">
        <w:rPr>
          <w:rFonts w:cs="Times New Roman"/>
        </w:rPr>
        <w:t xml:space="preserve">. június 30. napján megtartott ülésén alkotta, </w:t>
      </w:r>
      <w:r w:rsidRPr="001F37F9">
        <w:rPr>
          <w:rFonts w:cs="Times New Roman"/>
        </w:rPr>
        <w:t>2021. július 2.</w:t>
      </w:r>
      <w:r w:rsidRPr="00831634">
        <w:rPr>
          <w:rFonts w:cs="Times New Roman"/>
        </w:rPr>
        <w:t xml:space="preserve"> napján kihirdetésre került.</w:t>
      </w:r>
      <w:r w:rsidR="00C86DD5">
        <w:rPr>
          <w:rFonts w:cs="Times New Roman"/>
        </w:rPr>
        <w:t xml:space="preserve"> </w:t>
      </w:r>
      <w:r w:rsidR="00C86DD5">
        <w:t>Módosította a 7/2023. (III.01.) önkormányzati rendelet.</w:t>
      </w:r>
    </w:p>
    <w:p w14:paraId="31C67CBC" w14:textId="77777777" w:rsidR="00B06F3B" w:rsidRDefault="00B06F3B" w:rsidP="00B06F3B">
      <w:pPr>
        <w:spacing w:before="120" w:after="120"/>
        <w:jc w:val="both"/>
        <w:rPr>
          <w:rFonts w:cs="Times New Roman"/>
        </w:rPr>
      </w:pPr>
    </w:p>
    <w:p w14:paraId="26AC15A9" w14:textId="77777777" w:rsidR="00B06F3B" w:rsidRPr="0012278B" w:rsidRDefault="00B06F3B" w:rsidP="00B06F3B">
      <w:pPr>
        <w:spacing w:before="840" w:after="120"/>
        <w:jc w:val="center"/>
        <w:rPr>
          <w:rFonts w:cs="Times New Roman"/>
          <w:b/>
          <w:color w:val="000000"/>
        </w:rPr>
      </w:pPr>
      <w:r w:rsidRPr="0012278B">
        <w:rPr>
          <w:rFonts w:cs="Times New Roman"/>
          <w:b/>
          <w:color w:val="000000"/>
        </w:rPr>
        <w:t>dr. Szilágyi Anita</w:t>
      </w:r>
      <w:r w:rsidRPr="0012278B">
        <w:rPr>
          <w:rFonts w:cs="Times New Roman"/>
          <w:b/>
          <w:color w:val="000000"/>
        </w:rPr>
        <w:br/>
      </w:r>
      <w:r w:rsidRPr="0012278B">
        <w:rPr>
          <w:rFonts w:cs="Times New Roman"/>
          <w:bCs/>
          <w:color w:val="000000"/>
        </w:rPr>
        <w:t>jegyző</w:t>
      </w:r>
    </w:p>
    <w:p w14:paraId="32C7B44F" w14:textId="77777777" w:rsidR="00B06F3B" w:rsidRDefault="00B06F3B" w:rsidP="00B06F3B">
      <w:pPr>
        <w:pStyle w:val="Szvegtrzs"/>
        <w:spacing w:before="220" w:after="0" w:line="240" w:lineRule="auto"/>
        <w:jc w:val="both"/>
      </w:pPr>
    </w:p>
    <w:p w14:paraId="7202DC47" w14:textId="77777777" w:rsidR="002E0447" w:rsidRDefault="002E0447">
      <w:pPr>
        <w:pStyle w:val="Szvegtrzs"/>
        <w:spacing w:before="220" w:after="0" w:line="240" w:lineRule="auto"/>
        <w:jc w:val="both"/>
      </w:pPr>
    </w:p>
    <w:p w14:paraId="1892DBD3" w14:textId="7995CDF4" w:rsidR="00D7075A" w:rsidRDefault="00626DF9">
      <w:pPr>
        <w:pStyle w:val="Szvegtrzs"/>
        <w:spacing w:before="220" w:after="0" w:line="240" w:lineRule="auto"/>
        <w:jc w:val="both"/>
      </w:pPr>
      <w:r>
        <w:br w:type="page"/>
      </w:r>
    </w:p>
    <w:p w14:paraId="5507E639" w14:textId="77777777" w:rsidR="00D7075A" w:rsidRDefault="00626DF9">
      <w:pPr>
        <w:pStyle w:val="Szvegtrzs"/>
        <w:spacing w:line="240" w:lineRule="auto"/>
        <w:jc w:val="right"/>
        <w:rPr>
          <w:i/>
          <w:iCs/>
          <w:u w:val="single"/>
        </w:rPr>
      </w:pPr>
      <w:r>
        <w:rPr>
          <w:i/>
          <w:iCs/>
          <w:u w:val="single"/>
        </w:rPr>
        <w:lastRenderedPageBreak/>
        <w:t>1. melléklet</w:t>
      </w:r>
    </w:p>
    <w:p w14:paraId="2B17F7DE" w14:textId="77777777" w:rsidR="00626DF9" w:rsidRDefault="00626DF9" w:rsidP="00626DF9">
      <w:pPr>
        <w:pStyle w:val="Szvegtrzs"/>
        <w:spacing w:after="0" w:line="240" w:lineRule="auto"/>
        <w:jc w:val="center"/>
      </w:pPr>
      <w:r>
        <w:rPr>
          <w:noProof/>
          <w:lang w:eastAsia="hu-HU" w:bidi="ar-SA"/>
        </w:rPr>
        <w:drawing>
          <wp:anchor distT="0" distB="0" distL="114300" distR="114300" simplePos="0" relativeHeight="251657216" behindDoc="1" locked="0" layoutInCell="1" allowOverlap="1" wp14:anchorId="2D2B842D" wp14:editId="797A7B66">
            <wp:simplePos x="0" y="0"/>
            <wp:positionH relativeFrom="column">
              <wp:posOffset>32385</wp:posOffset>
            </wp:positionH>
            <wp:positionV relativeFrom="paragraph">
              <wp:posOffset>349250</wp:posOffset>
            </wp:positionV>
            <wp:extent cx="6297295" cy="8945226"/>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2190" cy="8952179"/>
                    </a:xfrm>
                    <a:prstGeom prst="rect">
                      <a:avLst/>
                    </a:prstGeom>
                  </pic:spPr>
                </pic:pic>
              </a:graphicData>
            </a:graphic>
          </wp:anchor>
        </w:drawing>
      </w:r>
      <w:r>
        <w:rPr>
          <w:b/>
          <w:bCs/>
        </w:rPr>
        <w:t>Bevallás a helyi vízgazdálkodási jogkörbe tartozó szennyvízelhelyezéshez kapcsolódó talajterhelési díjhoz</w:t>
      </w:r>
    </w:p>
    <w:p w14:paraId="518CCD59" w14:textId="77777777" w:rsidR="00626DF9" w:rsidRDefault="00626DF9">
      <w:pPr>
        <w:pStyle w:val="Szvegtrzs"/>
        <w:spacing w:line="240" w:lineRule="auto"/>
        <w:jc w:val="both"/>
        <w:sectPr w:rsidR="00626DF9">
          <w:footerReference w:type="default" r:id="rId13"/>
          <w:pgSz w:w="11906" w:h="16838"/>
          <w:pgMar w:top="1134" w:right="1134" w:bottom="1693" w:left="1134" w:header="0" w:footer="1134" w:gutter="0"/>
          <w:cols w:space="708"/>
          <w:formProt w:val="0"/>
          <w:docGrid w:linePitch="600" w:charSpace="32768"/>
        </w:sectPr>
      </w:pPr>
    </w:p>
    <w:p w14:paraId="78FA1604" w14:textId="6EDC5C47" w:rsidR="00D7075A" w:rsidRDefault="00D7075A" w:rsidP="00C86DD5">
      <w:pPr>
        <w:pStyle w:val="Szvegtrzs"/>
        <w:spacing w:after="0"/>
        <w:jc w:val="center"/>
      </w:pPr>
    </w:p>
    <w:sectPr w:rsidR="00D7075A" w:rsidSect="0024358F">
      <w:footerReference w:type="default" r:id="rId14"/>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810A" w14:textId="77777777" w:rsidR="00EC3CDE" w:rsidRDefault="00EC3CDE">
      <w:r>
        <w:separator/>
      </w:r>
    </w:p>
  </w:endnote>
  <w:endnote w:type="continuationSeparator" w:id="0">
    <w:p w14:paraId="21A66B2E" w14:textId="77777777" w:rsidR="00EC3CDE" w:rsidRDefault="00EC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65CE" w14:textId="77777777" w:rsidR="00B06F3B" w:rsidRDefault="00B06F3B" w:rsidP="00170A95">
    <w:pPr>
      <w:pStyle w:val="llb"/>
      <w:jc w:val="right"/>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779F" w14:textId="77777777" w:rsidR="00D7075A" w:rsidRDefault="0024358F">
    <w:pPr>
      <w:pStyle w:val="llb"/>
      <w:jc w:val="center"/>
    </w:pPr>
    <w:r>
      <w:fldChar w:fldCharType="begin"/>
    </w:r>
    <w:r w:rsidR="00626DF9">
      <w:instrText>PAGE</w:instrText>
    </w:r>
    <w:r>
      <w:fldChar w:fldCharType="separate"/>
    </w:r>
    <w:r w:rsidR="005B3870">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FDF8" w14:textId="77777777" w:rsidR="00D7075A" w:rsidRDefault="0024358F">
    <w:pPr>
      <w:pStyle w:val="llb"/>
      <w:jc w:val="center"/>
    </w:pPr>
    <w:r>
      <w:fldChar w:fldCharType="begin"/>
    </w:r>
    <w:r w:rsidR="00626DF9">
      <w:instrText>PAGE</w:instrText>
    </w:r>
    <w:r>
      <w:fldChar w:fldCharType="separate"/>
    </w:r>
    <w:r w:rsidR="005B387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7A6C" w14:textId="77777777" w:rsidR="00EC3CDE" w:rsidRDefault="00EC3CDE">
      <w:r>
        <w:separator/>
      </w:r>
    </w:p>
  </w:footnote>
  <w:footnote w:type="continuationSeparator" w:id="0">
    <w:p w14:paraId="1B52DFEA" w14:textId="77777777" w:rsidR="00EC3CDE" w:rsidRDefault="00EC3CDE">
      <w:r>
        <w:continuationSeparator/>
      </w:r>
    </w:p>
  </w:footnote>
  <w:footnote w:id="1">
    <w:p w14:paraId="25A93DE6" w14:textId="77777777" w:rsidR="009466E2" w:rsidRDefault="009466E2" w:rsidP="009466E2">
      <w:pPr>
        <w:pStyle w:val="Lbjegyzetszveg"/>
      </w:pPr>
      <w:r>
        <w:rPr>
          <w:rStyle w:val="Lbjegyzet-hivatkozs"/>
        </w:rPr>
        <w:footnoteRef/>
      </w:r>
      <w:r>
        <w:t xml:space="preserve"> Beépítette a 7/2023. (III.01.) önkormányzati rendelet 1.§-a, hatályos 2023. március 2. napjától.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3A42" w14:textId="2091DA8C" w:rsidR="00060A1C" w:rsidRDefault="00060A1C">
    <w:pPr>
      <w:pStyle w:val="lfej"/>
    </w:pPr>
  </w:p>
  <w:p w14:paraId="1679DE3D" w14:textId="5C4F9889" w:rsidR="00060A1C" w:rsidRDefault="00060A1C">
    <w:pPr>
      <w:pStyle w:val="lfej"/>
    </w:pPr>
  </w:p>
  <w:p w14:paraId="749B9975" w14:textId="105B079B" w:rsidR="00060A1C" w:rsidRDefault="00060A1C">
    <w:pPr>
      <w:pStyle w:val="lfej"/>
    </w:pPr>
  </w:p>
  <w:p w14:paraId="0268CC53" w14:textId="2C8F35D0" w:rsidR="00060A1C" w:rsidRDefault="00060A1C" w:rsidP="00060A1C">
    <w:pPr>
      <w:widowControl w:val="0"/>
      <w:tabs>
        <w:tab w:val="center" w:pos="4536"/>
        <w:tab w:val="right" w:pos="9072"/>
      </w:tabs>
      <w:autoSpaceDE w:val="0"/>
      <w:autoSpaceDN w:val="0"/>
      <w:adjustRightInd w:val="0"/>
      <w:jc w:val="right"/>
      <w:rPr>
        <w:b/>
        <w:smallCaps/>
        <w:sz w:val="16"/>
        <w:szCs w:val="16"/>
      </w:rPr>
    </w:pPr>
    <w:r w:rsidRPr="00FC2B76">
      <w:rPr>
        <w:b/>
        <w:smallCaps/>
        <w:sz w:val="16"/>
        <w:szCs w:val="16"/>
      </w:rPr>
      <w:t xml:space="preserve">Hatályosság állapota: </w:t>
    </w:r>
    <w:r>
      <w:rPr>
        <w:b/>
        <w:smallCaps/>
        <w:sz w:val="16"/>
        <w:szCs w:val="16"/>
      </w:rPr>
      <w:t>2023. március 2.</w:t>
    </w:r>
  </w:p>
  <w:p w14:paraId="0F3F8095" w14:textId="0973349E" w:rsidR="00060A1C" w:rsidRDefault="00000000" w:rsidP="00060A1C">
    <w:pPr>
      <w:pStyle w:val="lfej"/>
    </w:pPr>
    <w:r>
      <w:pict w14:anchorId="12347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7.5pt" o:hrpct="0" o:hralign="center" o:hr="t">
          <v:imagedata r:id="rId1" o:title="BD10358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5396B"/>
    <w:multiLevelType w:val="multilevel"/>
    <w:tmpl w:val="09B002C0"/>
    <w:lvl w:ilvl="0">
      <w:start w:val="1"/>
      <w:numFmt w:val="none"/>
      <w:pStyle w:val="Cmsor1"/>
      <w:suff w:val="nothing"/>
      <w:lvlText w:val=""/>
      <w:lvlJc w:val="left"/>
      <w:pPr>
        <w:ind w:left="0" w:firstLine="0"/>
      </w:pPr>
    </w:lvl>
    <w:lvl w:ilvl="1">
      <w:start w:val="1"/>
      <w:numFmt w:val="none"/>
      <w:pStyle w:val="Cmsor2"/>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pStyle w:val="Cmsor5"/>
      <w:suff w:val="nothing"/>
      <w:lvlText w:val=""/>
      <w:lvlJc w:val="left"/>
      <w:pPr>
        <w:ind w:left="0" w:firstLine="0"/>
      </w:pPr>
    </w:lvl>
    <w:lvl w:ilvl="5">
      <w:start w:val="1"/>
      <w:numFmt w:val="none"/>
      <w:pStyle w:val="Cmsor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80685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5A"/>
    <w:rsid w:val="00060A1C"/>
    <w:rsid w:val="000E090A"/>
    <w:rsid w:val="00197117"/>
    <w:rsid w:val="001F37F9"/>
    <w:rsid w:val="0024358F"/>
    <w:rsid w:val="002667E3"/>
    <w:rsid w:val="002C0077"/>
    <w:rsid w:val="002E0447"/>
    <w:rsid w:val="00315037"/>
    <w:rsid w:val="00360233"/>
    <w:rsid w:val="004D535E"/>
    <w:rsid w:val="005B3870"/>
    <w:rsid w:val="00626DF9"/>
    <w:rsid w:val="007D7677"/>
    <w:rsid w:val="009466E2"/>
    <w:rsid w:val="009C208D"/>
    <w:rsid w:val="00A80E74"/>
    <w:rsid w:val="00B06F3B"/>
    <w:rsid w:val="00C51B92"/>
    <w:rsid w:val="00C86DD5"/>
    <w:rsid w:val="00D7075A"/>
    <w:rsid w:val="00EC3C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D0342"/>
  <w15:docId w15:val="{555833A0-05C9-4535-A3BC-8AA9B909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4358F"/>
    <w:rPr>
      <w:rFonts w:ascii="Times New Roman" w:hAnsi="Times New Roman"/>
      <w:lang w:val="hu-HU"/>
    </w:rPr>
  </w:style>
  <w:style w:type="paragraph" w:styleId="Cmsor1">
    <w:name w:val="heading 1"/>
    <w:basedOn w:val="Heading"/>
    <w:next w:val="Szvegtrzs"/>
    <w:uiPriority w:val="9"/>
    <w:qFormat/>
    <w:rsid w:val="0024358F"/>
    <w:pPr>
      <w:numPr>
        <w:numId w:val="1"/>
      </w:numPr>
      <w:outlineLvl w:val="0"/>
    </w:pPr>
    <w:rPr>
      <w:b/>
      <w:bCs/>
      <w:sz w:val="36"/>
      <w:szCs w:val="36"/>
    </w:rPr>
  </w:style>
  <w:style w:type="paragraph" w:styleId="Cmsor2">
    <w:name w:val="heading 2"/>
    <w:basedOn w:val="Heading"/>
    <w:next w:val="Szvegtrzs"/>
    <w:uiPriority w:val="9"/>
    <w:semiHidden/>
    <w:unhideWhenUsed/>
    <w:qFormat/>
    <w:rsid w:val="0024358F"/>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rsid w:val="0024358F"/>
    <w:pPr>
      <w:numPr>
        <w:ilvl w:val="2"/>
        <w:numId w:val="1"/>
      </w:numPr>
      <w:spacing w:before="140"/>
      <w:outlineLvl w:val="2"/>
    </w:pPr>
    <w:rPr>
      <w:b/>
      <w:bCs/>
    </w:rPr>
  </w:style>
  <w:style w:type="paragraph" w:styleId="Cmsor4">
    <w:name w:val="heading 4"/>
    <w:basedOn w:val="Heading"/>
    <w:next w:val="Szvegtrzs"/>
    <w:uiPriority w:val="9"/>
    <w:semiHidden/>
    <w:unhideWhenUsed/>
    <w:qFormat/>
    <w:rsid w:val="0024358F"/>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rsid w:val="0024358F"/>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rsid w:val="0024358F"/>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Link">
    <w:name w:val="Internet Link"/>
    <w:rsid w:val="0024358F"/>
    <w:rPr>
      <w:color w:val="000080"/>
      <w:u w:val="single"/>
    </w:rPr>
  </w:style>
  <w:style w:type="character" w:customStyle="1" w:styleId="VisitedInternetLink">
    <w:name w:val="Visited Internet Link"/>
    <w:rsid w:val="0024358F"/>
    <w:rPr>
      <w:color w:val="800000"/>
      <w:u w:val="single"/>
    </w:rPr>
  </w:style>
  <w:style w:type="character" w:customStyle="1" w:styleId="NumberingSymbols">
    <w:name w:val="Numbering Symbols"/>
    <w:qFormat/>
    <w:rsid w:val="0024358F"/>
  </w:style>
  <w:style w:type="character" w:customStyle="1" w:styleId="Bullets">
    <w:name w:val="Bullets"/>
    <w:qFormat/>
    <w:rsid w:val="0024358F"/>
    <w:rPr>
      <w:rFonts w:ascii="OpenSymbol" w:eastAsia="OpenSymbol" w:hAnsi="OpenSymbol" w:cs="OpenSymbol"/>
    </w:rPr>
  </w:style>
  <w:style w:type="paragraph" w:customStyle="1" w:styleId="Heading">
    <w:name w:val="Heading"/>
    <w:basedOn w:val="Norml"/>
    <w:next w:val="Szvegtrzs"/>
    <w:qFormat/>
    <w:rsid w:val="0024358F"/>
    <w:pPr>
      <w:keepNext/>
      <w:spacing w:before="240" w:after="120"/>
    </w:pPr>
    <w:rPr>
      <w:rFonts w:ascii="Liberation Sans" w:hAnsi="Liberation Sans"/>
      <w:sz w:val="28"/>
      <w:szCs w:val="28"/>
    </w:rPr>
  </w:style>
  <w:style w:type="paragraph" w:styleId="Szvegtrzs">
    <w:name w:val="Body Text"/>
    <w:basedOn w:val="Norml"/>
    <w:rsid w:val="0024358F"/>
    <w:pPr>
      <w:spacing w:after="140" w:line="288" w:lineRule="auto"/>
    </w:pPr>
  </w:style>
  <w:style w:type="paragraph" w:styleId="Lista">
    <w:name w:val="List"/>
    <w:basedOn w:val="Szvegtrzs"/>
    <w:rsid w:val="0024358F"/>
  </w:style>
  <w:style w:type="paragraph" w:styleId="Kpalrs">
    <w:name w:val="caption"/>
    <w:basedOn w:val="Norml"/>
    <w:qFormat/>
    <w:rsid w:val="0024358F"/>
    <w:pPr>
      <w:suppressLineNumbers/>
      <w:spacing w:before="120" w:after="120"/>
    </w:pPr>
    <w:rPr>
      <w:i/>
      <w:iCs/>
    </w:rPr>
  </w:style>
  <w:style w:type="paragraph" w:customStyle="1" w:styleId="Index">
    <w:name w:val="Index"/>
    <w:basedOn w:val="Norml"/>
    <w:qFormat/>
    <w:rsid w:val="0024358F"/>
    <w:pPr>
      <w:suppressLineNumbers/>
    </w:pPr>
  </w:style>
  <w:style w:type="paragraph" w:styleId="llb">
    <w:name w:val="footer"/>
    <w:basedOn w:val="Norml"/>
    <w:link w:val="llbChar"/>
    <w:rsid w:val="0024358F"/>
    <w:pPr>
      <w:suppressLineNumbers/>
      <w:tabs>
        <w:tab w:val="center" w:pos="4819"/>
        <w:tab w:val="right" w:pos="9638"/>
      </w:tabs>
    </w:pPr>
  </w:style>
  <w:style w:type="paragraph" w:customStyle="1" w:styleId="TableContents">
    <w:name w:val="Table Contents"/>
    <w:basedOn w:val="Norml"/>
    <w:qFormat/>
    <w:rsid w:val="0024358F"/>
    <w:pPr>
      <w:suppressLineNumbers/>
    </w:pPr>
  </w:style>
  <w:style w:type="paragraph" w:customStyle="1" w:styleId="TableHeading">
    <w:name w:val="Table Heading"/>
    <w:basedOn w:val="TableContents"/>
    <w:qFormat/>
    <w:rsid w:val="0024358F"/>
    <w:pPr>
      <w:jc w:val="center"/>
    </w:pPr>
    <w:rPr>
      <w:b/>
      <w:bCs/>
    </w:rPr>
  </w:style>
  <w:style w:type="paragraph" w:customStyle="1" w:styleId="HorizontalLine">
    <w:name w:val="Horizontal Line"/>
    <w:basedOn w:val="Norml"/>
    <w:next w:val="Szvegtrzs"/>
    <w:qFormat/>
    <w:rsid w:val="0024358F"/>
    <w:pPr>
      <w:suppressLineNumbers/>
      <w:pBdr>
        <w:bottom w:val="double" w:sz="2" w:space="0" w:color="808080"/>
      </w:pBdr>
      <w:spacing w:after="283"/>
    </w:pPr>
    <w:rPr>
      <w:sz w:val="12"/>
      <w:szCs w:val="12"/>
    </w:rPr>
  </w:style>
  <w:style w:type="character" w:customStyle="1" w:styleId="llbChar">
    <w:name w:val="Élőláb Char"/>
    <w:link w:val="llb"/>
    <w:rsid w:val="00B06F3B"/>
    <w:rPr>
      <w:rFonts w:ascii="Times New Roman" w:hAnsi="Times New Roman"/>
      <w:lang w:val="hu-HU"/>
    </w:rPr>
  </w:style>
  <w:style w:type="paragraph" w:styleId="lfej">
    <w:name w:val="header"/>
    <w:basedOn w:val="Norml"/>
    <w:link w:val="lfejChar"/>
    <w:uiPriority w:val="99"/>
    <w:unhideWhenUsed/>
    <w:rsid w:val="00060A1C"/>
    <w:pPr>
      <w:tabs>
        <w:tab w:val="center" w:pos="4536"/>
        <w:tab w:val="right" w:pos="9072"/>
      </w:tabs>
    </w:pPr>
    <w:rPr>
      <w:rFonts w:cs="Mangal"/>
      <w:szCs w:val="21"/>
    </w:rPr>
  </w:style>
  <w:style w:type="character" w:customStyle="1" w:styleId="lfejChar">
    <w:name w:val="Élőfej Char"/>
    <w:basedOn w:val="Bekezdsalapbettpusa"/>
    <w:link w:val="lfej"/>
    <w:uiPriority w:val="99"/>
    <w:rsid w:val="00060A1C"/>
    <w:rPr>
      <w:rFonts w:ascii="Times New Roman" w:hAnsi="Times New Roman" w:cs="Mangal"/>
      <w:szCs w:val="21"/>
      <w:lang w:val="hu-HU"/>
    </w:rPr>
  </w:style>
  <w:style w:type="paragraph" w:customStyle="1" w:styleId="titulus">
    <w:name w:val="titulus"/>
    <w:next w:val="brajegyzk"/>
    <w:autoRedefine/>
    <w:qFormat/>
    <w:rsid w:val="00060A1C"/>
    <w:pPr>
      <w:jc w:val="center"/>
    </w:pPr>
    <w:rPr>
      <w:rFonts w:ascii="Times New Roman" w:eastAsia="Times New Roman" w:hAnsi="Times New Roman" w:cs="Times New Roman"/>
      <w:kern w:val="0"/>
      <w:sz w:val="28"/>
      <w:lang w:val="hu-HU" w:eastAsia="hu-HU" w:bidi="ar-SA"/>
    </w:rPr>
  </w:style>
  <w:style w:type="paragraph" w:styleId="brajegyzk">
    <w:name w:val="table of figures"/>
    <w:basedOn w:val="Norml"/>
    <w:next w:val="Norml"/>
    <w:uiPriority w:val="99"/>
    <w:semiHidden/>
    <w:unhideWhenUsed/>
    <w:rsid w:val="00060A1C"/>
    <w:rPr>
      <w:rFonts w:cs="Mangal"/>
      <w:szCs w:val="21"/>
    </w:rPr>
  </w:style>
  <w:style w:type="paragraph" w:styleId="Lbjegyzetszveg">
    <w:name w:val="footnote text"/>
    <w:basedOn w:val="Norml"/>
    <w:link w:val="LbjegyzetszvegChar"/>
    <w:uiPriority w:val="99"/>
    <w:semiHidden/>
    <w:unhideWhenUsed/>
    <w:rsid w:val="00060A1C"/>
    <w:rPr>
      <w:rFonts w:cs="Mangal"/>
      <w:sz w:val="20"/>
      <w:szCs w:val="18"/>
    </w:rPr>
  </w:style>
  <w:style w:type="character" w:customStyle="1" w:styleId="LbjegyzetszvegChar">
    <w:name w:val="Lábjegyzetszöveg Char"/>
    <w:basedOn w:val="Bekezdsalapbettpusa"/>
    <w:link w:val="Lbjegyzetszveg"/>
    <w:uiPriority w:val="99"/>
    <w:semiHidden/>
    <w:rsid w:val="00060A1C"/>
    <w:rPr>
      <w:rFonts w:ascii="Times New Roman" w:hAnsi="Times New Roman" w:cs="Mangal"/>
      <w:sz w:val="20"/>
      <w:szCs w:val="18"/>
      <w:lang w:val="hu-HU"/>
    </w:rPr>
  </w:style>
  <w:style w:type="character" w:styleId="Lbjegyzet-hivatkozs">
    <w:name w:val="footnote reference"/>
    <w:basedOn w:val="Bekezdsalapbettpusa"/>
    <w:uiPriority w:val="99"/>
    <w:semiHidden/>
    <w:unhideWhenUsed/>
    <w:rsid w:val="00060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04597-EE8F-45CF-AD7E-4EA311BC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719</Words>
  <Characters>4964</Characters>
  <Application>Microsoft Office Word</Application>
  <DocSecurity>0</DocSecurity>
  <Lines>41</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Vajna Eszter</dc:creator>
  <cp:lastModifiedBy>Urbánné Zsigmond Ildikó</cp:lastModifiedBy>
  <cp:revision>12</cp:revision>
  <dcterms:created xsi:type="dcterms:W3CDTF">2021-06-21T07:34:00Z</dcterms:created>
  <dcterms:modified xsi:type="dcterms:W3CDTF">2023-02-28T13:48:00Z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i4>1</vt:i4>
  </property>
</Properties>
</file>