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6023" w14:textId="77777777" w:rsidR="00D66800" w:rsidRPr="00331AC4" w:rsidRDefault="00D66800" w:rsidP="00D66800">
      <w:pPr>
        <w:suppressAutoHyphens/>
        <w:spacing w:before="240" w:after="480" w:line="240" w:lineRule="auto"/>
        <w:jc w:val="center"/>
        <w:rPr>
          <w:rFonts w:ascii="Times New Roman" w:eastAsia="Noto Sans CJK SC Regular" w:hAnsi="Times New Roman" w:cs="FreeSans"/>
          <w:b/>
          <w:bCs/>
          <w:sz w:val="28"/>
          <w:szCs w:val="26"/>
          <w:lang w:eastAsia="zh-CN" w:bidi="hi-IN"/>
          <w14:ligatures w14:val="none"/>
        </w:rPr>
      </w:pPr>
      <w:r w:rsidRPr="00331AC4">
        <w:rPr>
          <w:rFonts w:ascii="Times New Roman" w:eastAsia="Noto Sans CJK SC Regular" w:hAnsi="Times New Roman" w:cs="FreeSans"/>
          <w:b/>
          <w:bCs/>
          <w:sz w:val="28"/>
          <w:szCs w:val="26"/>
          <w:lang w:eastAsia="zh-CN" w:bidi="hi-IN"/>
          <w14:ligatures w14:val="none"/>
        </w:rPr>
        <w:t>Egyedi közzétételi lista</w:t>
      </w:r>
    </w:p>
    <w:p w14:paraId="0B9E104F" w14:textId="77777777" w:rsidR="00D66800" w:rsidRPr="00D66800" w:rsidRDefault="00D66800" w:rsidP="00D66800">
      <w:pPr>
        <w:suppressAutoHyphens/>
        <w:spacing w:before="220"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1. Személyzeti adatok</w:t>
      </w:r>
    </w:p>
    <w:tbl>
      <w:tblPr>
        <w:tblW w:w="5117" w:type="pct"/>
        <w:tblInd w:w="-7" w:type="dxa"/>
        <w:tblLayout w:type="fixed"/>
        <w:tblCellMar>
          <w:top w:w="28" w:type="dxa"/>
          <w:left w:w="28" w:type="dxa"/>
          <w:bottom w:w="28" w:type="dxa"/>
          <w:right w:w="28" w:type="dxa"/>
        </w:tblCellMar>
        <w:tblLook w:val="04A0" w:firstRow="1" w:lastRow="0" w:firstColumn="1" w:lastColumn="0" w:noHBand="0" w:noVBand="1"/>
      </w:tblPr>
      <w:tblGrid>
        <w:gridCol w:w="292"/>
        <w:gridCol w:w="5970"/>
        <w:gridCol w:w="1675"/>
        <w:gridCol w:w="2551"/>
        <w:gridCol w:w="2186"/>
        <w:gridCol w:w="1641"/>
      </w:tblGrid>
      <w:tr w:rsidR="00D66800" w:rsidRPr="00D66800" w14:paraId="4C8273A4" w14:textId="77777777" w:rsidTr="005973CB">
        <w:tc>
          <w:tcPr>
            <w:tcW w:w="292" w:type="dxa"/>
            <w:tcBorders>
              <w:top w:val="single" w:sz="6" w:space="0" w:color="000000"/>
              <w:left w:val="single" w:sz="6" w:space="0" w:color="000000"/>
              <w:bottom w:val="single" w:sz="6" w:space="0" w:color="000000"/>
              <w:right w:val="single" w:sz="6" w:space="0" w:color="000000"/>
            </w:tcBorders>
          </w:tcPr>
          <w:p w14:paraId="5A80A9B4"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p>
        </w:tc>
        <w:tc>
          <w:tcPr>
            <w:tcW w:w="5970" w:type="dxa"/>
            <w:tcBorders>
              <w:top w:val="single" w:sz="6" w:space="0" w:color="000000"/>
              <w:left w:val="single" w:sz="6" w:space="0" w:color="000000"/>
              <w:bottom w:val="single" w:sz="6" w:space="0" w:color="000000"/>
              <w:right w:val="single" w:sz="6" w:space="0" w:color="000000"/>
            </w:tcBorders>
          </w:tcPr>
          <w:p w14:paraId="14FB56A7"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w:t>
            </w:r>
          </w:p>
        </w:tc>
        <w:tc>
          <w:tcPr>
            <w:tcW w:w="1675" w:type="dxa"/>
            <w:tcBorders>
              <w:top w:val="single" w:sz="6" w:space="0" w:color="000000"/>
              <w:left w:val="single" w:sz="6" w:space="0" w:color="000000"/>
              <w:bottom w:val="single" w:sz="6" w:space="0" w:color="000000"/>
              <w:right w:val="single" w:sz="6" w:space="0" w:color="000000"/>
            </w:tcBorders>
          </w:tcPr>
          <w:p w14:paraId="09380C9A"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Adatkör</w:t>
            </w:r>
          </w:p>
        </w:tc>
        <w:tc>
          <w:tcPr>
            <w:tcW w:w="2551" w:type="dxa"/>
            <w:tcBorders>
              <w:top w:val="single" w:sz="6" w:space="0" w:color="000000"/>
              <w:left w:val="single" w:sz="6" w:space="0" w:color="000000"/>
              <w:bottom w:val="single" w:sz="6" w:space="0" w:color="000000"/>
              <w:right w:val="single" w:sz="6" w:space="0" w:color="000000"/>
            </w:tcBorders>
          </w:tcPr>
          <w:p w14:paraId="464831CF"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Frissítés</w:t>
            </w:r>
          </w:p>
        </w:tc>
        <w:tc>
          <w:tcPr>
            <w:tcW w:w="2186" w:type="dxa"/>
            <w:tcBorders>
              <w:top w:val="single" w:sz="6" w:space="0" w:color="000000"/>
              <w:left w:val="single" w:sz="6" w:space="0" w:color="000000"/>
              <w:bottom w:val="single" w:sz="6" w:space="0" w:color="000000"/>
              <w:right w:val="single" w:sz="6" w:space="0" w:color="000000"/>
            </w:tcBorders>
          </w:tcPr>
          <w:p w14:paraId="5AAB9F13"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Megőrzés</w:t>
            </w:r>
          </w:p>
        </w:tc>
        <w:tc>
          <w:tcPr>
            <w:tcW w:w="1641" w:type="dxa"/>
            <w:tcBorders>
              <w:top w:val="single" w:sz="6" w:space="0" w:color="000000"/>
              <w:left w:val="single" w:sz="6" w:space="0" w:color="000000"/>
              <w:bottom w:val="single" w:sz="6" w:space="0" w:color="000000"/>
              <w:right w:val="single" w:sz="6" w:space="0" w:color="000000"/>
            </w:tcBorders>
          </w:tcPr>
          <w:p w14:paraId="050283AF"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Adatközlésért felelős</w:t>
            </w:r>
          </w:p>
        </w:tc>
      </w:tr>
      <w:tr w:rsidR="00D66800" w:rsidRPr="00D66800" w14:paraId="4C7C1750" w14:textId="77777777" w:rsidTr="005973CB">
        <w:tc>
          <w:tcPr>
            <w:tcW w:w="292" w:type="dxa"/>
            <w:tcBorders>
              <w:top w:val="single" w:sz="6" w:space="0" w:color="000000"/>
              <w:left w:val="single" w:sz="6" w:space="0" w:color="000000"/>
              <w:bottom w:val="single" w:sz="6" w:space="0" w:color="000000"/>
              <w:right w:val="single" w:sz="6" w:space="0" w:color="000000"/>
            </w:tcBorders>
          </w:tcPr>
          <w:p w14:paraId="439B34B8"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1</w:t>
            </w:r>
          </w:p>
        </w:tc>
        <w:tc>
          <w:tcPr>
            <w:tcW w:w="5970" w:type="dxa"/>
            <w:tcBorders>
              <w:top w:val="single" w:sz="6" w:space="0" w:color="000000"/>
              <w:left w:val="single" w:sz="6" w:space="0" w:color="000000"/>
              <w:bottom w:val="single" w:sz="6" w:space="0" w:color="000000"/>
              <w:right w:val="single" w:sz="6" w:space="0" w:color="000000"/>
            </w:tcBorders>
          </w:tcPr>
          <w:p w14:paraId="34423E07"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Szigetszentmiklós Város Önkormányzata Képviselő-testülete tagjainak önéletrajza az érintettek önkéntes hozzájárulása esetén</w:t>
            </w:r>
          </w:p>
        </w:tc>
        <w:tc>
          <w:tcPr>
            <w:tcW w:w="1675" w:type="dxa"/>
            <w:tcBorders>
              <w:top w:val="single" w:sz="6" w:space="0" w:color="000000"/>
              <w:left w:val="single" w:sz="6" w:space="0" w:color="000000"/>
              <w:bottom w:val="single" w:sz="6" w:space="0" w:color="000000"/>
              <w:right w:val="single" w:sz="6" w:space="0" w:color="000000"/>
            </w:tcBorders>
          </w:tcPr>
          <w:p w14:paraId="6C525B72"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Önkormányzat</w:t>
            </w:r>
          </w:p>
        </w:tc>
        <w:tc>
          <w:tcPr>
            <w:tcW w:w="2551" w:type="dxa"/>
            <w:tcBorders>
              <w:top w:val="single" w:sz="6" w:space="0" w:color="000000"/>
              <w:left w:val="single" w:sz="6" w:space="0" w:color="000000"/>
              <w:bottom w:val="single" w:sz="6" w:space="0" w:color="000000"/>
              <w:right w:val="single" w:sz="6" w:space="0" w:color="000000"/>
            </w:tcBorders>
          </w:tcPr>
          <w:p w14:paraId="2E8B1A81"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Az aktualizált önéletrajz beérkezését követő 15 munkanapon belül</w:t>
            </w:r>
          </w:p>
        </w:tc>
        <w:tc>
          <w:tcPr>
            <w:tcW w:w="2186" w:type="dxa"/>
            <w:tcBorders>
              <w:top w:val="single" w:sz="6" w:space="0" w:color="000000"/>
              <w:left w:val="single" w:sz="6" w:space="0" w:color="000000"/>
              <w:bottom w:val="single" w:sz="6" w:space="0" w:color="000000"/>
              <w:right w:val="single" w:sz="6" w:space="0" w:color="000000"/>
            </w:tcBorders>
          </w:tcPr>
          <w:p w14:paraId="29848488"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Az előző állapot törlendő</w:t>
            </w:r>
          </w:p>
        </w:tc>
        <w:tc>
          <w:tcPr>
            <w:tcW w:w="1641" w:type="dxa"/>
            <w:tcBorders>
              <w:top w:val="single" w:sz="6" w:space="0" w:color="000000"/>
              <w:left w:val="single" w:sz="6" w:space="0" w:color="000000"/>
              <w:bottom w:val="single" w:sz="6" w:space="0" w:color="000000"/>
              <w:right w:val="single" w:sz="6" w:space="0" w:color="000000"/>
            </w:tcBorders>
          </w:tcPr>
          <w:p w14:paraId="5BDD1BB0"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polgármester</w:t>
            </w:r>
          </w:p>
        </w:tc>
      </w:tr>
      <w:tr w:rsidR="00D66800" w:rsidRPr="00D66800" w14:paraId="11CBFA39" w14:textId="77777777" w:rsidTr="005973CB">
        <w:tc>
          <w:tcPr>
            <w:tcW w:w="292" w:type="dxa"/>
            <w:tcBorders>
              <w:top w:val="single" w:sz="6" w:space="0" w:color="000000"/>
              <w:left w:val="single" w:sz="6" w:space="0" w:color="000000"/>
              <w:bottom w:val="single" w:sz="6" w:space="0" w:color="000000"/>
              <w:right w:val="single" w:sz="6" w:space="0" w:color="000000"/>
            </w:tcBorders>
          </w:tcPr>
          <w:p w14:paraId="4F9732E0"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2</w:t>
            </w:r>
          </w:p>
        </w:tc>
        <w:tc>
          <w:tcPr>
            <w:tcW w:w="5970" w:type="dxa"/>
            <w:tcBorders>
              <w:top w:val="single" w:sz="6" w:space="0" w:color="000000"/>
              <w:left w:val="single" w:sz="6" w:space="0" w:color="000000"/>
              <w:bottom w:val="single" w:sz="6" w:space="0" w:color="000000"/>
              <w:right w:val="single" w:sz="6" w:space="0" w:color="000000"/>
            </w:tcBorders>
          </w:tcPr>
          <w:p w14:paraId="76879AE8"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 xml:space="preserve">Szigetszentmiklós Város Önkormányzata Képviselő-testülete tagjainak nyilvános vagyonnyilatkozatai szöveghű másolata az azonosító adatok </w:t>
            </w:r>
            <w:proofErr w:type="spellStart"/>
            <w:r w:rsidRPr="00D66800">
              <w:rPr>
                <w:rFonts w:ascii="Times New Roman" w:eastAsia="Noto Sans CJK SC Regular" w:hAnsi="Times New Roman" w:cs="FreeSans"/>
                <w:sz w:val="24"/>
                <w:szCs w:val="24"/>
                <w:lang w:eastAsia="zh-CN" w:bidi="hi-IN"/>
                <w14:ligatures w14:val="none"/>
              </w:rPr>
              <w:t>anonimizálását</w:t>
            </w:r>
            <w:proofErr w:type="spellEnd"/>
            <w:r w:rsidRPr="00D66800">
              <w:rPr>
                <w:rFonts w:ascii="Times New Roman" w:eastAsia="Noto Sans CJK SC Regular" w:hAnsi="Times New Roman" w:cs="FreeSans"/>
                <w:sz w:val="24"/>
                <w:szCs w:val="24"/>
                <w:lang w:eastAsia="zh-CN" w:bidi="hi-IN"/>
                <w14:ligatures w14:val="none"/>
              </w:rPr>
              <w:t xml:space="preserve"> követően</w:t>
            </w:r>
          </w:p>
        </w:tc>
        <w:tc>
          <w:tcPr>
            <w:tcW w:w="1675" w:type="dxa"/>
            <w:tcBorders>
              <w:top w:val="single" w:sz="6" w:space="0" w:color="000000"/>
              <w:left w:val="single" w:sz="6" w:space="0" w:color="000000"/>
              <w:bottom w:val="single" w:sz="6" w:space="0" w:color="000000"/>
              <w:right w:val="single" w:sz="6" w:space="0" w:color="000000"/>
            </w:tcBorders>
          </w:tcPr>
          <w:p w14:paraId="4B4EA6D3"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Önkormányzat</w:t>
            </w:r>
          </w:p>
        </w:tc>
        <w:tc>
          <w:tcPr>
            <w:tcW w:w="2551" w:type="dxa"/>
            <w:tcBorders>
              <w:top w:val="single" w:sz="6" w:space="0" w:color="000000"/>
              <w:left w:val="single" w:sz="6" w:space="0" w:color="000000"/>
              <w:bottom w:val="single" w:sz="6" w:space="0" w:color="000000"/>
              <w:right w:val="single" w:sz="6" w:space="0" w:color="000000"/>
            </w:tcBorders>
          </w:tcPr>
          <w:p w14:paraId="2362BFE6"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vagyonnyilatkozat átvételét követő 15 munkanapon belül</w:t>
            </w:r>
          </w:p>
        </w:tc>
        <w:tc>
          <w:tcPr>
            <w:tcW w:w="2186" w:type="dxa"/>
            <w:tcBorders>
              <w:top w:val="single" w:sz="6" w:space="0" w:color="000000"/>
              <w:left w:val="single" w:sz="6" w:space="0" w:color="000000"/>
              <w:bottom w:val="single" w:sz="6" w:space="0" w:color="000000"/>
              <w:right w:val="single" w:sz="6" w:space="0" w:color="000000"/>
            </w:tcBorders>
          </w:tcPr>
          <w:p w14:paraId="1E68ACD4"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vagyonnyilatkozat tételét követő 1 évig</w:t>
            </w:r>
          </w:p>
        </w:tc>
        <w:tc>
          <w:tcPr>
            <w:tcW w:w="1641" w:type="dxa"/>
            <w:tcBorders>
              <w:top w:val="single" w:sz="6" w:space="0" w:color="000000"/>
              <w:left w:val="single" w:sz="6" w:space="0" w:color="000000"/>
              <w:bottom w:val="single" w:sz="6" w:space="0" w:color="000000"/>
              <w:right w:val="single" w:sz="6" w:space="0" w:color="000000"/>
            </w:tcBorders>
          </w:tcPr>
          <w:p w14:paraId="30BB056D"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polgármester</w:t>
            </w:r>
          </w:p>
        </w:tc>
      </w:tr>
    </w:tbl>
    <w:p w14:paraId="594B0518" w14:textId="77777777" w:rsidR="00D66800" w:rsidRPr="00D66800" w:rsidRDefault="00D66800" w:rsidP="00D66800">
      <w:pPr>
        <w:suppressAutoHyphens/>
        <w:spacing w:before="220"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2. Tevékenységre vonatkozó adatok</w:t>
      </w:r>
    </w:p>
    <w:tbl>
      <w:tblPr>
        <w:tblW w:w="5117" w:type="pct"/>
        <w:tblInd w:w="-7" w:type="dxa"/>
        <w:tblLayout w:type="fixed"/>
        <w:tblCellMar>
          <w:top w:w="28" w:type="dxa"/>
          <w:left w:w="28" w:type="dxa"/>
          <w:bottom w:w="28" w:type="dxa"/>
          <w:right w:w="28" w:type="dxa"/>
        </w:tblCellMar>
        <w:tblLook w:val="04A0" w:firstRow="1" w:lastRow="0" w:firstColumn="1" w:lastColumn="0" w:noHBand="0" w:noVBand="1"/>
      </w:tblPr>
      <w:tblGrid>
        <w:gridCol w:w="293"/>
        <w:gridCol w:w="5942"/>
        <w:gridCol w:w="1701"/>
        <w:gridCol w:w="2552"/>
        <w:gridCol w:w="2127"/>
        <w:gridCol w:w="1700"/>
      </w:tblGrid>
      <w:tr w:rsidR="00D66800" w:rsidRPr="00D66800" w14:paraId="2789BFE8" w14:textId="77777777" w:rsidTr="005973CB">
        <w:tc>
          <w:tcPr>
            <w:tcW w:w="293" w:type="dxa"/>
            <w:tcBorders>
              <w:top w:val="single" w:sz="6" w:space="0" w:color="000000"/>
              <w:left w:val="single" w:sz="6" w:space="0" w:color="000000"/>
              <w:bottom w:val="single" w:sz="6" w:space="0" w:color="000000"/>
              <w:right w:val="single" w:sz="6" w:space="0" w:color="000000"/>
            </w:tcBorders>
          </w:tcPr>
          <w:p w14:paraId="1A12BCF6"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p>
        </w:tc>
        <w:tc>
          <w:tcPr>
            <w:tcW w:w="5942" w:type="dxa"/>
            <w:tcBorders>
              <w:top w:val="single" w:sz="6" w:space="0" w:color="000000"/>
              <w:left w:val="single" w:sz="6" w:space="0" w:color="000000"/>
              <w:bottom w:val="single" w:sz="6" w:space="0" w:color="000000"/>
              <w:right w:val="single" w:sz="6" w:space="0" w:color="000000"/>
            </w:tcBorders>
          </w:tcPr>
          <w:p w14:paraId="5BE7E682"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w:t>
            </w:r>
          </w:p>
        </w:tc>
        <w:tc>
          <w:tcPr>
            <w:tcW w:w="1701" w:type="dxa"/>
            <w:tcBorders>
              <w:top w:val="single" w:sz="6" w:space="0" w:color="000000"/>
              <w:left w:val="single" w:sz="6" w:space="0" w:color="000000"/>
              <w:bottom w:val="single" w:sz="6" w:space="0" w:color="000000"/>
              <w:right w:val="single" w:sz="6" w:space="0" w:color="000000"/>
            </w:tcBorders>
          </w:tcPr>
          <w:p w14:paraId="6A82EB75"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Adatkör</w:t>
            </w:r>
          </w:p>
        </w:tc>
        <w:tc>
          <w:tcPr>
            <w:tcW w:w="2552" w:type="dxa"/>
            <w:tcBorders>
              <w:top w:val="single" w:sz="6" w:space="0" w:color="000000"/>
              <w:left w:val="single" w:sz="6" w:space="0" w:color="000000"/>
              <w:bottom w:val="single" w:sz="6" w:space="0" w:color="000000"/>
              <w:right w:val="single" w:sz="6" w:space="0" w:color="000000"/>
            </w:tcBorders>
          </w:tcPr>
          <w:p w14:paraId="3B8FC65D"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Frissítés</w:t>
            </w:r>
          </w:p>
        </w:tc>
        <w:tc>
          <w:tcPr>
            <w:tcW w:w="2127" w:type="dxa"/>
            <w:tcBorders>
              <w:top w:val="single" w:sz="6" w:space="0" w:color="000000"/>
              <w:left w:val="single" w:sz="6" w:space="0" w:color="000000"/>
              <w:bottom w:val="single" w:sz="6" w:space="0" w:color="000000"/>
              <w:right w:val="single" w:sz="6" w:space="0" w:color="000000"/>
            </w:tcBorders>
          </w:tcPr>
          <w:p w14:paraId="15B9B5FB"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Megőrzés</w:t>
            </w:r>
          </w:p>
        </w:tc>
        <w:tc>
          <w:tcPr>
            <w:tcW w:w="1700" w:type="dxa"/>
            <w:tcBorders>
              <w:top w:val="single" w:sz="6" w:space="0" w:color="000000"/>
              <w:left w:val="single" w:sz="6" w:space="0" w:color="000000"/>
              <w:bottom w:val="single" w:sz="6" w:space="0" w:color="000000"/>
              <w:right w:val="single" w:sz="6" w:space="0" w:color="000000"/>
            </w:tcBorders>
          </w:tcPr>
          <w:p w14:paraId="108709A5"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Adatközlésért felelős</w:t>
            </w:r>
          </w:p>
        </w:tc>
      </w:tr>
      <w:tr w:rsidR="00D66800" w:rsidRPr="00D66800" w14:paraId="35D08259" w14:textId="77777777" w:rsidTr="005973CB">
        <w:tc>
          <w:tcPr>
            <w:tcW w:w="293" w:type="dxa"/>
            <w:tcBorders>
              <w:top w:val="single" w:sz="6" w:space="0" w:color="000000"/>
              <w:left w:val="single" w:sz="6" w:space="0" w:color="000000"/>
              <w:bottom w:val="single" w:sz="6" w:space="0" w:color="000000"/>
              <w:right w:val="single" w:sz="6" w:space="0" w:color="000000"/>
            </w:tcBorders>
          </w:tcPr>
          <w:p w14:paraId="6A93ED43"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1</w:t>
            </w:r>
          </w:p>
        </w:tc>
        <w:tc>
          <w:tcPr>
            <w:tcW w:w="5942" w:type="dxa"/>
            <w:tcBorders>
              <w:top w:val="single" w:sz="6" w:space="0" w:color="000000"/>
              <w:left w:val="single" w:sz="6" w:space="0" w:color="000000"/>
              <w:bottom w:val="single" w:sz="6" w:space="0" w:color="000000"/>
              <w:right w:val="single" w:sz="6" w:space="0" w:color="000000"/>
            </w:tcBorders>
          </w:tcPr>
          <w:p w14:paraId="48021634"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közérdekű adatok megismerésére irányuló igények beérkezésének időpontja, tárgya és a rendelkezésre bocsátott közérdekű vagy közérdekből nyilvános adatok szöveghű másolata, a meg nem ismerhető adatok felismerhetetlenné tételével</w:t>
            </w:r>
          </w:p>
        </w:tc>
        <w:tc>
          <w:tcPr>
            <w:tcW w:w="1701" w:type="dxa"/>
            <w:tcBorders>
              <w:top w:val="single" w:sz="6" w:space="0" w:color="000000"/>
              <w:left w:val="single" w:sz="6" w:space="0" w:color="000000"/>
              <w:bottom w:val="single" w:sz="6" w:space="0" w:color="000000"/>
              <w:right w:val="single" w:sz="6" w:space="0" w:color="000000"/>
            </w:tcBorders>
          </w:tcPr>
          <w:p w14:paraId="131AB431"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Önkormányzat és Polgármesteri Hivatal</w:t>
            </w:r>
          </w:p>
        </w:tc>
        <w:tc>
          <w:tcPr>
            <w:tcW w:w="2552" w:type="dxa"/>
            <w:tcBorders>
              <w:top w:val="single" w:sz="6" w:space="0" w:color="000000"/>
              <w:left w:val="single" w:sz="6" w:space="0" w:color="000000"/>
              <w:bottom w:val="single" w:sz="6" w:space="0" w:color="000000"/>
              <w:right w:val="single" w:sz="6" w:space="0" w:color="000000"/>
            </w:tcBorders>
          </w:tcPr>
          <w:p w14:paraId="027F737A"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Évente, január 31. napjáig</w:t>
            </w:r>
          </w:p>
        </w:tc>
        <w:tc>
          <w:tcPr>
            <w:tcW w:w="2127" w:type="dxa"/>
            <w:tcBorders>
              <w:top w:val="single" w:sz="6" w:space="0" w:color="000000"/>
              <w:left w:val="single" w:sz="6" w:space="0" w:color="000000"/>
              <w:bottom w:val="single" w:sz="6" w:space="0" w:color="000000"/>
              <w:right w:val="single" w:sz="6" w:space="0" w:color="000000"/>
            </w:tcBorders>
          </w:tcPr>
          <w:p w14:paraId="6E7DC138"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közzétételt követő 5 évig</w:t>
            </w:r>
          </w:p>
        </w:tc>
        <w:tc>
          <w:tcPr>
            <w:tcW w:w="1700" w:type="dxa"/>
            <w:tcBorders>
              <w:top w:val="single" w:sz="6" w:space="0" w:color="000000"/>
              <w:left w:val="single" w:sz="6" w:space="0" w:color="000000"/>
              <w:bottom w:val="single" w:sz="6" w:space="0" w:color="000000"/>
              <w:right w:val="single" w:sz="6" w:space="0" w:color="000000"/>
            </w:tcBorders>
          </w:tcPr>
          <w:p w14:paraId="696A807F"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jegyző</w:t>
            </w:r>
          </w:p>
        </w:tc>
      </w:tr>
    </w:tbl>
    <w:p w14:paraId="1B254DA0" w14:textId="212075E4" w:rsidR="00D66800" w:rsidRPr="00D66800" w:rsidRDefault="00D66800" w:rsidP="00D66800">
      <w:pPr>
        <w:suppressAutoHyphens/>
        <w:spacing w:before="220"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3. Gazdálkodási adatok</w:t>
      </w:r>
    </w:p>
    <w:tbl>
      <w:tblPr>
        <w:tblW w:w="5117" w:type="pct"/>
        <w:tblInd w:w="-7" w:type="dxa"/>
        <w:tblLayout w:type="fixed"/>
        <w:tblCellMar>
          <w:top w:w="28" w:type="dxa"/>
          <w:left w:w="28" w:type="dxa"/>
          <w:bottom w:w="28" w:type="dxa"/>
          <w:right w:w="28" w:type="dxa"/>
        </w:tblCellMar>
        <w:tblLook w:val="04A0" w:firstRow="1" w:lastRow="0" w:firstColumn="1" w:lastColumn="0" w:noHBand="0" w:noVBand="1"/>
      </w:tblPr>
      <w:tblGrid>
        <w:gridCol w:w="293"/>
        <w:gridCol w:w="5942"/>
        <w:gridCol w:w="1701"/>
        <w:gridCol w:w="2552"/>
        <w:gridCol w:w="1702"/>
        <w:gridCol w:w="2125"/>
      </w:tblGrid>
      <w:tr w:rsidR="00C50F26" w:rsidRPr="00D66800" w14:paraId="5FDF345C" w14:textId="77777777" w:rsidTr="00C50F26">
        <w:tc>
          <w:tcPr>
            <w:tcW w:w="293" w:type="dxa"/>
            <w:tcBorders>
              <w:top w:val="single" w:sz="6" w:space="0" w:color="000000"/>
              <w:left w:val="single" w:sz="6" w:space="0" w:color="000000"/>
              <w:bottom w:val="single" w:sz="6" w:space="0" w:color="000000"/>
              <w:right w:val="single" w:sz="6" w:space="0" w:color="000000"/>
            </w:tcBorders>
          </w:tcPr>
          <w:p w14:paraId="399FCD14"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p>
        </w:tc>
        <w:tc>
          <w:tcPr>
            <w:tcW w:w="5942" w:type="dxa"/>
            <w:tcBorders>
              <w:top w:val="single" w:sz="6" w:space="0" w:color="000000"/>
              <w:left w:val="single" w:sz="6" w:space="0" w:color="000000"/>
              <w:bottom w:val="single" w:sz="6" w:space="0" w:color="000000"/>
              <w:right w:val="single" w:sz="6" w:space="0" w:color="000000"/>
            </w:tcBorders>
          </w:tcPr>
          <w:p w14:paraId="428B5135"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w:t>
            </w:r>
          </w:p>
        </w:tc>
        <w:tc>
          <w:tcPr>
            <w:tcW w:w="1701" w:type="dxa"/>
            <w:tcBorders>
              <w:top w:val="single" w:sz="6" w:space="0" w:color="000000"/>
              <w:left w:val="single" w:sz="6" w:space="0" w:color="000000"/>
              <w:bottom w:val="single" w:sz="6" w:space="0" w:color="000000"/>
              <w:right w:val="single" w:sz="6" w:space="0" w:color="000000"/>
            </w:tcBorders>
          </w:tcPr>
          <w:p w14:paraId="75B7347E"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Adatkör</w:t>
            </w:r>
          </w:p>
        </w:tc>
        <w:tc>
          <w:tcPr>
            <w:tcW w:w="2552" w:type="dxa"/>
            <w:tcBorders>
              <w:top w:val="single" w:sz="6" w:space="0" w:color="000000"/>
              <w:left w:val="single" w:sz="6" w:space="0" w:color="000000"/>
              <w:bottom w:val="single" w:sz="6" w:space="0" w:color="000000"/>
              <w:right w:val="single" w:sz="6" w:space="0" w:color="000000"/>
            </w:tcBorders>
          </w:tcPr>
          <w:p w14:paraId="1065C89A"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Frissítés</w:t>
            </w:r>
          </w:p>
        </w:tc>
        <w:tc>
          <w:tcPr>
            <w:tcW w:w="1702" w:type="dxa"/>
            <w:tcBorders>
              <w:top w:val="single" w:sz="6" w:space="0" w:color="000000"/>
              <w:left w:val="single" w:sz="6" w:space="0" w:color="000000"/>
              <w:bottom w:val="single" w:sz="6" w:space="0" w:color="000000"/>
              <w:right w:val="single" w:sz="6" w:space="0" w:color="000000"/>
            </w:tcBorders>
          </w:tcPr>
          <w:p w14:paraId="2BCD751E"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Megőrzés</w:t>
            </w:r>
          </w:p>
        </w:tc>
        <w:tc>
          <w:tcPr>
            <w:tcW w:w="2125" w:type="dxa"/>
            <w:tcBorders>
              <w:top w:val="single" w:sz="6" w:space="0" w:color="000000"/>
              <w:left w:val="single" w:sz="6" w:space="0" w:color="000000"/>
              <w:bottom w:val="single" w:sz="6" w:space="0" w:color="000000"/>
              <w:right w:val="single" w:sz="6" w:space="0" w:color="000000"/>
            </w:tcBorders>
          </w:tcPr>
          <w:p w14:paraId="0412CA15" w14:textId="77777777" w:rsidR="00D66800" w:rsidRPr="00D66800" w:rsidRDefault="00D66800" w:rsidP="00D66800">
            <w:pPr>
              <w:suppressAutoHyphens/>
              <w:spacing w:after="0" w:line="240" w:lineRule="auto"/>
              <w:jc w:val="both"/>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Adatközlésért felelős</w:t>
            </w:r>
          </w:p>
        </w:tc>
      </w:tr>
      <w:tr w:rsidR="00C50F26" w:rsidRPr="00D66800" w14:paraId="05C0FA70" w14:textId="77777777" w:rsidTr="00C50F26">
        <w:tc>
          <w:tcPr>
            <w:tcW w:w="293" w:type="dxa"/>
            <w:tcBorders>
              <w:top w:val="single" w:sz="6" w:space="0" w:color="000000"/>
              <w:left w:val="single" w:sz="6" w:space="0" w:color="000000"/>
              <w:bottom w:val="single" w:sz="6" w:space="0" w:color="000000"/>
              <w:right w:val="single" w:sz="6" w:space="0" w:color="000000"/>
            </w:tcBorders>
          </w:tcPr>
          <w:p w14:paraId="10E8981F"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1</w:t>
            </w:r>
          </w:p>
        </w:tc>
        <w:tc>
          <w:tcPr>
            <w:tcW w:w="5942" w:type="dxa"/>
            <w:tcBorders>
              <w:top w:val="single" w:sz="6" w:space="0" w:color="000000"/>
              <w:left w:val="single" w:sz="6" w:space="0" w:color="000000"/>
              <w:bottom w:val="single" w:sz="6" w:space="0" w:color="000000"/>
              <w:right w:val="single" w:sz="6" w:space="0" w:color="000000"/>
            </w:tcBorders>
          </w:tcPr>
          <w:p w14:paraId="4620A9EA"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 xml:space="preserve">A közfeladatot ellátó szerv által indított beszerzési ajánlatkérés tárgya, az ajánlattevők adatai (név/cégnév, lakcím/székhely) és a benyújtott árajánlatok összege, a nyertes ajánlattevő megnevezése az 1 millió forintot meghaladó beszerzési értékű beszerzéseknél. Beszerzés </w:t>
            </w:r>
            <w:r w:rsidRPr="00D66800">
              <w:rPr>
                <w:rFonts w:ascii="Times New Roman" w:eastAsia="Noto Sans CJK SC Regular" w:hAnsi="Times New Roman" w:cs="FreeSans"/>
                <w:sz w:val="24"/>
                <w:szCs w:val="24"/>
                <w:lang w:eastAsia="zh-CN" w:bidi="hi-IN"/>
                <w14:ligatures w14:val="none"/>
              </w:rPr>
              <w:lastRenderedPageBreak/>
              <w:t>értéke alatt a beszerzés tárgyáért kikötött – általános forgalmi adó nélkül számított – ellenszolgáltatást kell érteni.</w:t>
            </w:r>
          </w:p>
        </w:tc>
        <w:tc>
          <w:tcPr>
            <w:tcW w:w="1701" w:type="dxa"/>
            <w:tcBorders>
              <w:top w:val="single" w:sz="6" w:space="0" w:color="000000"/>
              <w:left w:val="single" w:sz="6" w:space="0" w:color="000000"/>
              <w:bottom w:val="single" w:sz="6" w:space="0" w:color="000000"/>
              <w:right w:val="single" w:sz="6" w:space="0" w:color="000000"/>
            </w:tcBorders>
          </w:tcPr>
          <w:p w14:paraId="6E2348E0"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lastRenderedPageBreak/>
              <w:t>Önkormányzat és Intézményei</w:t>
            </w:r>
          </w:p>
        </w:tc>
        <w:tc>
          <w:tcPr>
            <w:tcW w:w="2552" w:type="dxa"/>
            <w:tcBorders>
              <w:top w:val="single" w:sz="6" w:space="0" w:color="000000"/>
              <w:left w:val="single" w:sz="6" w:space="0" w:color="000000"/>
              <w:bottom w:val="single" w:sz="6" w:space="0" w:color="000000"/>
              <w:right w:val="single" w:sz="6" w:space="0" w:color="000000"/>
            </w:tcBorders>
          </w:tcPr>
          <w:p w14:paraId="5AAFB588"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Negyedévente</w:t>
            </w:r>
          </w:p>
        </w:tc>
        <w:tc>
          <w:tcPr>
            <w:tcW w:w="1702" w:type="dxa"/>
            <w:tcBorders>
              <w:top w:val="single" w:sz="6" w:space="0" w:color="000000"/>
              <w:left w:val="single" w:sz="6" w:space="0" w:color="000000"/>
              <w:bottom w:val="single" w:sz="6" w:space="0" w:color="000000"/>
              <w:right w:val="single" w:sz="6" w:space="0" w:color="000000"/>
            </w:tcBorders>
          </w:tcPr>
          <w:p w14:paraId="21D3FB80"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közzétételt követő 5 évig</w:t>
            </w:r>
          </w:p>
        </w:tc>
        <w:tc>
          <w:tcPr>
            <w:tcW w:w="2125" w:type="dxa"/>
            <w:tcBorders>
              <w:top w:val="single" w:sz="6" w:space="0" w:color="000000"/>
              <w:left w:val="single" w:sz="6" w:space="0" w:color="000000"/>
              <w:bottom w:val="single" w:sz="6" w:space="0" w:color="000000"/>
              <w:right w:val="single" w:sz="6" w:space="0" w:color="000000"/>
            </w:tcBorders>
          </w:tcPr>
          <w:p w14:paraId="5C640FDA"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polgármester/jegyző/intézményvezető</w:t>
            </w:r>
          </w:p>
        </w:tc>
      </w:tr>
      <w:tr w:rsidR="00C50F26" w:rsidRPr="00D66800" w14:paraId="250B5493" w14:textId="77777777" w:rsidTr="00C50F26">
        <w:tc>
          <w:tcPr>
            <w:tcW w:w="293" w:type="dxa"/>
            <w:tcBorders>
              <w:top w:val="single" w:sz="6" w:space="0" w:color="000000"/>
              <w:left w:val="single" w:sz="6" w:space="0" w:color="000000"/>
              <w:bottom w:val="single" w:sz="6" w:space="0" w:color="000000"/>
              <w:right w:val="single" w:sz="6" w:space="0" w:color="000000"/>
            </w:tcBorders>
          </w:tcPr>
          <w:p w14:paraId="57543ECD"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2</w:t>
            </w:r>
          </w:p>
        </w:tc>
        <w:tc>
          <w:tcPr>
            <w:tcW w:w="5942" w:type="dxa"/>
            <w:tcBorders>
              <w:top w:val="single" w:sz="6" w:space="0" w:color="000000"/>
              <w:left w:val="single" w:sz="6" w:space="0" w:color="000000"/>
              <w:bottom w:val="single" w:sz="6" w:space="0" w:color="000000"/>
              <w:right w:val="single" w:sz="6" w:space="0" w:color="000000"/>
            </w:tcBorders>
          </w:tcPr>
          <w:p w14:paraId="55FA2D71"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közfeladatot ellátó szerv pénzeszközei felhasználásával, vagyonával történő gazdálkodással összefüggő, 1 millió forintot meghaladó beszerzési értékű árubeszerzésre, építési beruházásra, szolgáltatás megrendelésre, vagyonértékesítésre, vagyonhasznosításra, vagyon vagy vagyoni értékű jog átadására, valamint a koncesszióba adásra vonatkozó</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a) szerződés megnevezése (típusa),</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b) szerződés tárgya,</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c) az Önkormányzattal szerződést kötő fél neve,</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d) a szerződés értéke,</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e) határozott időre kötött szerződés esetében annak időtartama,</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f) szerződés szövegmű másolata a vonatkozó jogszabályok szerint nyilvánossá tehető módon, továbbá</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g) az említett adatok változásai,</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a védelmi és biztonsági célú beszerzések adatai és a minősített adatok, továbbá a közbeszerzésekről szóló 2015. évi CXLIII. törvény 9. § (1) bekezdés b) pontja szerinti beszerzések és az azok eredményeként kötött szerződések adatai kivételével.</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A szerződés értéke alatt a szerződés tárgyáért kikötött – általános forgalmi adó nélkül számított – ellenszolgáltatást kell érteni.</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Az időszakonként visszatérő egy évnél hosszabb időtartamra kötött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701" w:type="dxa"/>
            <w:tcBorders>
              <w:top w:val="single" w:sz="6" w:space="0" w:color="000000"/>
              <w:left w:val="single" w:sz="6" w:space="0" w:color="000000"/>
              <w:bottom w:val="single" w:sz="6" w:space="0" w:color="000000"/>
              <w:right w:val="single" w:sz="6" w:space="0" w:color="000000"/>
            </w:tcBorders>
          </w:tcPr>
          <w:p w14:paraId="79AE2243"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Önkormányzat</w:t>
            </w:r>
          </w:p>
        </w:tc>
        <w:tc>
          <w:tcPr>
            <w:tcW w:w="2552" w:type="dxa"/>
            <w:tcBorders>
              <w:top w:val="single" w:sz="6" w:space="0" w:color="000000"/>
              <w:left w:val="single" w:sz="6" w:space="0" w:color="000000"/>
              <w:bottom w:val="single" w:sz="6" w:space="0" w:color="000000"/>
              <w:right w:val="single" w:sz="6" w:space="0" w:color="000000"/>
            </w:tcBorders>
          </w:tcPr>
          <w:p w14:paraId="286558DB"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döntés meghozatalát követő hatvanadik napig</w:t>
            </w:r>
          </w:p>
        </w:tc>
        <w:tc>
          <w:tcPr>
            <w:tcW w:w="1702" w:type="dxa"/>
            <w:tcBorders>
              <w:top w:val="single" w:sz="6" w:space="0" w:color="000000"/>
              <w:left w:val="single" w:sz="6" w:space="0" w:color="000000"/>
              <w:bottom w:val="single" w:sz="6" w:space="0" w:color="000000"/>
              <w:right w:val="single" w:sz="6" w:space="0" w:color="000000"/>
            </w:tcBorders>
          </w:tcPr>
          <w:p w14:paraId="530E8E6B"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közzétételt követő 5 évig</w:t>
            </w:r>
          </w:p>
        </w:tc>
        <w:tc>
          <w:tcPr>
            <w:tcW w:w="2125" w:type="dxa"/>
            <w:tcBorders>
              <w:top w:val="single" w:sz="6" w:space="0" w:color="000000"/>
              <w:left w:val="single" w:sz="6" w:space="0" w:color="000000"/>
              <w:bottom w:val="single" w:sz="6" w:space="0" w:color="000000"/>
              <w:right w:val="single" w:sz="6" w:space="0" w:color="000000"/>
            </w:tcBorders>
          </w:tcPr>
          <w:p w14:paraId="707A75EF"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polgármester</w:t>
            </w:r>
          </w:p>
        </w:tc>
      </w:tr>
      <w:tr w:rsidR="00C50F26" w:rsidRPr="00D66800" w14:paraId="77D7C884" w14:textId="77777777" w:rsidTr="00C50F26">
        <w:tc>
          <w:tcPr>
            <w:tcW w:w="293" w:type="dxa"/>
            <w:tcBorders>
              <w:top w:val="single" w:sz="6" w:space="0" w:color="000000"/>
              <w:left w:val="single" w:sz="6" w:space="0" w:color="000000"/>
              <w:bottom w:val="single" w:sz="6" w:space="0" w:color="000000"/>
              <w:right w:val="single" w:sz="6" w:space="0" w:color="000000"/>
            </w:tcBorders>
          </w:tcPr>
          <w:p w14:paraId="3EB863E5" w14:textId="77777777" w:rsidR="00D66800" w:rsidRPr="00D66800" w:rsidRDefault="00D66800" w:rsidP="00D66800">
            <w:pPr>
              <w:suppressAutoHyphens/>
              <w:spacing w:after="0" w:line="240" w:lineRule="auto"/>
              <w:jc w:val="center"/>
              <w:rPr>
                <w:rFonts w:ascii="Times New Roman" w:eastAsia="Noto Sans CJK SC Regular" w:hAnsi="Times New Roman" w:cs="FreeSans"/>
                <w:b/>
                <w:bCs/>
                <w:sz w:val="24"/>
                <w:szCs w:val="24"/>
                <w:lang w:eastAsia="zh-CN" w:bidi="hi-IN"/>
                <w14:ligatures w14:val="none"/>
              </w:rPr>
            </w:pPr>
            <w:r w:rsidRPr="00D66800">
              <w:rPr>
                <w:rFonts w:ascii="Times New Roman" w:eastAsia="Noto Sans CJK SC Regular" w:hAnsi="Times New Roman" w:cs="FreeSans"/>
                <w:b/>
                <w:bCs/>
                <w:sz w:val="24"/>
                <w:szCs w:val="24"/>
                <w:lang w:eastAsia="zh-CN" w:bidi="hi-IN"/>
                <w14:ligatures w14:val="none"/>
              </w:rPr>
              <w:t>3</w:t>
            </w:r>
          </w:p>
        </w:tc>
        <w:tc>
          <w:tcPr>
            <w:tcW w:w="5942" w:type="dxa"/>
            <w:tcBorders>
              <w:top w:val="single" w:sz="6" w:space="0" w:color="000000"/>
              <w:left w:val="single" w:sz="6" w:space="0" w:color="000000"/>
              <w:bottom w:val="single" w:sz="6" w:space="0" w:color="000000"/>
              <w:right w:val="single" w:sz="6" w:space="0" w:color="000000"/>
            </w:tcBorders>
          </w:tcPr>
          <w:p w14:paraId="42DD0F86"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 xml:space="preserve">A közfeladatot ellátó szerv által nyújtott, az államháztartásról szóló törvény szerinti, 1 millió forintot meghaladó támogatásokra vonatkozó szerződések 2. pont szerinti adatai, </w:t>
            </w:r>
            <w:r w:rsidRPr="00D66800">
              <w:rPr>
                <w:rFonts w:ascii="Times New Roman" w:eastAsia="Noto Sans CJK SC Regular" w:hAnsi="Times New Roman" w:cs="FreeSans"/>
                <w:sz w:val="24"/>
                <w:szCs w:val="24"/>
                <w:lang w:eastAsia="zh-CN" w:bidi="hi-IN"/>
                <w14:ligatures w14:val="none"/>
              </w:rPr>
              <w:lastRenderedPageBreak/>
              <w:t>kivéve, ha a közzététel előtt a költségvetési támogatást visszavonják vagy arról a kedvezményezett lemond, azzal, hogy a szerződés</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a) tárgyaként a támogatás célját vagy a támogatási összeg fedezeteként szolgáló költségvetési keret megnevezését,</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b) értékeként a támogatás összegét</w:t>
            </w:r>
            <w:r w:rsidRPr="00D66800">
              <w:rPr>
                <w:rFonts w:ascii="Times New Roman" w:eastAsia="Noto Sans CJK SC Regular" w:hAnsi="Times New Roman" w:cs="FreeSans"/>
                <w:sz w:val="24"/>
                <w:szCs w:val="24"/>
                <w:lang w:eastAsia="zh-CN" w:bidi="hi-IN"/>
                <w14:ligatures w14:val="none"/>
              </w:rPr>
              <w:tab/>
              <w:t xml:space="preserve"> </w:t>
            </w:r>
            <w:r w:rsidRPr="00D66800">
              <w:rPr>
                <w:rFonts w:ascii="Times New Roman" w:eastAsia="Noto Sans CJK SC Regular" w:hAnsi="Times New Roman" w:cs="FreeSans"/>
                <w:sz w:val="24"/>
                <w:szCs w:val="24"/>
                <w:lang w:eastAsia="zh-CN" w:bidi="hi-IN"/>
                <w14:ligatures w14:val="none"/>
              </w:rPr>
              <w:br/>
              <w:t>kell közzétenni, az államháztartásról szóló törvény 14. pont a)-n) pontjában felsorolt kivételekkel.</w:t>
            </w:r>
          </w:p>
        </w:tc>
        <w:tc>
          <w:tcPr>
            <w:tcW w:w="1701" w:type="dxa"/>
            <w:tcBorders>
              <w:top w:val="single" w:sz="6" w:space="0" w:color="000000"/>
              <w:left w:val="single" w:sz="6" w:space="0" w:color="000000"/>
              <w:bottom w:val="single" w:sz="6" w:space="0" w:color="000000"/>
              <w:right w:val="single" w:sz="6" w:space="0" w:color="000000"/>
            </w:tcBorders>
          </w:tcPr>
          <w:p w14:paraId="35A95E86"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lastRenderedPageBreak/>
              <w:t>Önkormányzat</w:t>
            </w:r>
          </w:p>
        </w:tc>
        <w:tc>
          <w:tcPr>
            <w:tcW w:w="2552" w:type="dxa"/>
            <w:tcBorders>
              <w:top w:val="single" w:sz="6" w:space="0" w:color="000000"/>
              <w:left w:val="single" w:sz="6" w:space="0" w:color="000000"/>
              <w:bottom w:val="single" w:sz="6" w:space="0" w:color="000000"/>
              <w:right w:val="single" w:sz="6" w:space="0" w:color="000000"/>
            </w:tcBorders>
          </w:tcPr>
          <w:p w14:paraId="3D9C0229"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döntés meghozatalát követő hatvanadik napig</w:t>
            </w:r>
          </w:p>
        </w:tc>
        <w:tc>
          <w:tcPr>
            <w:tcW w:w="1702" w:type="dxa"/>
            <w:tcBorders>
              <w:top w:val="single" w:sz="6" w:space="0" w:color="000000"/>
              <w:left w:val="single" w:sz="6" w:space="0" w:color="000000"/>
              <w:bottom w:val="single" w:sz="6" w:space="0" w:color="000000"/>
              <w:right w:val="single" w:sz="6" w:space="0" w:color="000000"/>
            </w:tcBorders>
          </w:tcPr>
          <w:p w14:paraId="250BC3AD"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A közzétételt követő 5 évig</w:t>
            </w:r>
          </w:p>
        </w:tc>
        <w:tc>
          <w:tcPr>
            <w:tcW w:w="2125" w:type="dxa"/>
            <w:tcBorders>
              <w:top w:val="single" w:sz="6" w:space="0" w:color="000000"/>
              <w:left w:val="single" w:sz="6" w:space="0" w:color="000000"/>
              <w:bottom w:val="single" w:sz="6" w:space="0" w:color="000000"/>
              <w:right w:val="single" w:sz="6" w:space="0" w:color="000000"/>
            </w:tcBorders>
          </w:tcPr>
          <w:p w14:paraId="4F5E8316" w14:textId="77777777" w:rsidR="00D66800" w:rsidRPr="00D66800" w:rsidRDefault="00D66800" w:rsidP="00D66800">
            <w:pPr>
              <w:suppressAutoHyphens/>
              <w:spacing w:after="0" w:line="240" w:lineRule="auto"/>
              <w:jc w:val="both"/>
              <w:rPr>
                <w:rFonts w:ascii="Times New Roman" w:eastAsia="Noto Sans CJK SC Regular" w:hAnsi="Times New Roman" w:cs="FreeSans"/>
                <w:sz w:val="24"/>
                <w:szCs w:val="24"/>
                <w:lang w:eastAsia="zh-CN" w:bidi="hi-IN"/>
                <w14:ligatures w14:val="none"/>
              </w:rPr>
            </w:pPr>
            <w:r w:rsidRPr="00D66800">
              <w:rPr>
                <w:rFonts w:ascii="Times New Roman" w:eastAsia="Noto Sans CJK SC Regular" w:hAnsi="Times New Roman" w:cs="FreeSans"/>
                <w:sz w:val="24"/>
                <w:szCs w:val="24"/>
                <w:lang w:eastAsia="zh-CN" w:bidi="hi-IN"/>
                <w14:ligatures w14:val="none"/>
              </w:rPr>
              <w:t>polgármester</w:t>
            </w:r>
          </w:p>
        </w:tc>
      </w:tr>
    </w:tbl>
    <w:p w14:paraId="56E94BC1" w14:textId="77777777" w:rsidR="00AB3B23" w:rsidRDefault="00AB3B23"/>
    <w:sectPr w:rsidR="00AB3B23" w:rsidSect="00D6680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2743" w14:textId="77777777" w:rsidR="00D66800" w:rsidRDefault="00D66800" w:rsidP="00D66800">
      <w:pPr>
        <w:spacing w:after="0" w:line="240" w:lineRule="auto"/>
      </w:pPr>
      <w:r>
        <w:separator/>
      </w:r>
    </w:p>
  </w:endnote>
  <w:endnote w:type="continuationSeparator" w:id="0">
    <w:p w14:paraId="374DB7A1" w14:textId="77777777" w:rsidR="00D66800" w:rsidRDefault="00D66800" w:rsidP="00D6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4C37" w14:textId="77777777" w:rsidR="00D66800" w:rsidRDefault="00D66800" w:rsidP="00D66800">
      <w:pPr>
        <w:spacing w:after="0" w:line="240" w:lineRule="auto"/>
      </w:pPr>
      <w:r>
        <w:separator/>
      </w:r>
    </w:p>
  </w:footnote>
  <w:footnote w:type="continuationSeparator" w:id="0">
    <w:p w14:paraId="0D541D40" w14:textId="77777777" w:rsidR="00D66800" w:rsidRDefault="00D66800" w:rsidP="00D66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00"/>
    <w:rsid w:val="00331AC4"/>
    <w:rsid w:val="005973CB"/>
    <w:rsid w:val="00AB3B23"/>
    <w:rsid w:val="00C50F26"/>
    <w:rsid w:val="00D668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6E08"/>
  <w15:chartTrackingRefBased/>
  <w15:docId w15:val="{5712CB72-F6C4-4836-A968-23E77DDD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6800"/>
    <w:pPr>
      <w:tabs>
        <w:tab w:val="center" w:pos="4536"/>
        <w:tab w:val="right" w:pos="9072"/>
      </w:tabs>
      <w:spacing w:after="0" w:line="240" w:lineRule="auto"/>
    </w:pPr>
  </w:style>
  <w:style w:type="character" w:customStyle="1" w:styleId="lfejChar">
    <w:name w:val="Élőfej Char"/>
    <w:basedOn w:val="Bekezdsalapbettpusa"/>
    <w:link w:val="lfej"/>
    <w:uiPriority w:val="99"/>
    <w:rsid w:val="00D66800"/>
  </w:style>
  <w:style w:type="paragraph" w:styleId="llb">
    <w:name w:val="footer"/>
    <w:basedOn w:val="Norml"/>
    <w:link w:val="llbChar"/>
    <w:uiPriority w:val="99"/>
    <w:unhideWhenUsed/>
    <w:rsid w:val="00D66800"/>
    <w:pPr>
      <w:tabs>
        <w:tab w:val="center" w:pos="4536"/>
        <w:tab w:val="right" w:pos="9072"/>
      </w:tabs>
      <w:spacing w:after="0" w:line="240" w:lineRule="auto"/>
    </w:pPr>
  </w:style>
  <w:style w:type="character" w:customStyle="1" w:styleId="llbChar">
    <w:name w:val="Élőláb Char"/>
    <w:basedOn w:val="Bekezdsalapbettpusa"/>
    <w:link w:val="llb"/>
    <w:uiPriority w:val="99"/>
    <w:rsid w:val="00D6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476</Words>
  <Characters>3285</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Eszes Anikó</dc:creator>
  <cp:keywords/>
  <dc:description/>
  <cp:lastModifiedBy>Eszes Anikó</cp:lastModifiedBy>
  <cp:revision>3</cp:revision>
  <dcterms:created xsi:type="dcterms:W3CDTF">2024-02-05T09:21:00Z</dcterms:created>
  <dcterms:modified xsi:type="dcterms:W3CDTF">2024-02-05T09:39:00Z</dcterms:modified>
</cp:coreProperties>
</file>